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color w:val="FF0000"/>
          <w:sz w:val="36"/>
          <w:szCs w:val="36"/>
          <w:lang w:val="en-US" w:eastAsia="zh-CN"/>
        </w:rPr>
      </w:pPr>
      <w:r>
        <w:rPr>
          <w:rFonts w:hint="eastAsia"/>
          <w:lang w:val="en-US" w:eastAsia="zh-CN"/>
        </w:rPr>
        <w:t xml:space="preserve">                    </w:t>
      </w:r>
      <w:r>
        <w:rPr>
          <w:rFonts w:hint="eastAsia"/>
          <w:color w:val="FF0000"/>
          <w:lang w:val="en-US" w:eastAsia="zh-CN"/>
        </w:rPr>
        <w:t xml:space="preserve"> </w:t>
      </w:r>
      <w:r>
        <w:rPr>
          <w:rFonts w:hint="eastAsia"/>
          <w:b/>
          <w:bCs/>
          <w:color w:val="FF0000"/>
          <w:lang w:val="en-US" w:eastAsia="zh-CN"/>
        </w:rPr>
        <w:t xml:space="preserve">   </w:t>
      </w:r>
      <w:r>
        <w:rPr>
          <w:rFonts w:hint="eastAsia" w:asciiTheme="majorEastAsia" w:hAnsiTheme="majorEastAsia" w:eastAsiaTheme="majorEastAsia" w:cstheme="majorEastAsia"/>
          <w:b/>
          <w:bCs/>
          <w:color w:val="FF0000"/>
          <w:sz w:val="36"/>
          <w:szCs w:val="36"/>
          <w:lang w:val="en-US" w:eastAsia="zh-CN"/>
        </w:rPr>
        <w:t>OXST-806产品说明书</w:t>
      </w:r>
    </w:p>
    <w:p>
      <w:pPr>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产品化学名称：</w:t>
      </w:r>
      <w:r>
        <w:rPr>
          <w:rFonts w:hint="eastAsia"/>
          <w:sz w:val="28"/>
          <w:szCs w:val="28"/>
          <w:lang w:val="en-US" w:eastAsia="zh-CN"/>
        </w:rPr>
        <w:t>烷撑烯基聚氧乙烯醚</w:t>
      </w:r>
    </w:p>
    <w:p>
      <w:pPr>
        <w:rPr>
          <w:rFonts w:hint="eastAsia"/>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产品应用：</w:t>
      </w:r>
      <w:r>
        <w:rPr>
          <w:rFonts w:hint="eastAsia"/>
          <w:sz w:val="28"/>
          <w:szCs w:val="28"/>
          <w:lang w:val="en-US" w:eastAsia="zh-CN"/>
        </w:rPr>
        <w:t>OXST-806是在分子水平上创新设计的一种新型嵌段聚羧酸减水剂综合型聚醚单体。该产品分子量分布窄，合成的聚羧酸减水剂具有提高混凝土密实性和渗透性能，减水率高、混凝土和易性优越、混凝土柔软不结板；加快早期强度的发展；提高混凝土的耐久性。可应用在预制混凝土、高强混凝土、快速脱模混凝土等。产品</w:t>
      </w:r>
      <w:r>
        <w:rPr>
          <w:rFonts w:hint="default" w:ascii="Times New Roman" w:hAnsi="Times New Roman" w:eastAsia="宋体" w:cs="Times New Roman"/>
          <w:kern w:val="0"/>
          <w:sz w:val="28"/>
          <w:szCs w:val="28"/>
          <w:lang w:val="en-US" w:eastAsia="zh-CN"/>
        </w:rPr>
        <w:t>白色片状至淡黄色片状</w:t>
      </w:r>
      <w:r>
        <w:rPr>
          <w:rFonts w:hint="eastAsia" w:ascii="Times New Roman" w:hAnsi="Times New Roman" w:eastAsia="宋体" w:cs="Times New Roman"/>
          <w:kern w:val="0"/>
          <w:sz w:val="28"/>
          <w:szCs w:val="28"/>
          <w:lang w:val="en-US" w:eastAsia="zh-CN"/>
        </w:rPr>
        <w:t>，</w:t>
      </w:r>
      <w:bookmarkStart w:id="0" w:name="_GoBack"/>
      <w:bookmarkEnd w:id="0"/>
      <w:r>
        <w:rPr>
          <w:rFonts w:hint="eastAsia"/>
          <w:sz w:val="28"/>
          <w:szCs w:val="28"/>
          <w:lang w:val="en-US" w:eastAsia="zh-CN"/>
        </w:rPr>
        <w:t>水溶性稳定，可配制成水剂产品销售，使用更方便。</w:t>
      </w:r>
    </w:p>
    <w:p>
      <w:pPr>
        <w:rPr>
          <w:rFonts w:ascii="Times New Roman" w:hAnsi="Times New Roman" w:eastAsia="宋体" w:cs="Times New Roman"/>
          <w:color w:val="333333"/>
          <w:kern w:val="0"/>
          <w:sz w:val="28"/>
          <w:szCs w:val="28"/>
        </w:rPr>
      </w:pPr>
      <w:r>
        <w:rPr>
          <w:rFonts w:ascii="Times New Roman" w:hAnsi="宋体" w:eastAsia="宋体" w:cs="Times New Roman"/>
          <w:b/>
          <w:bCs w:val="0"/>
          <w:color w:val="FF0000"/>
          <w:kern w:val="0"/>
          <w:sz w:val="28"/>
          <w:szCs w:val="28"/>
        </w:rPr>
        <w:t>质量指标：</w:t>
      </w:r>
    </w:p>
    <w:tbl>
      <w:tblPr>
        <w:tblStyle w:val="4"/>
        <w:tblW w:w="8535" w:type="dxa"/>
        <w:tblInd w:w="-12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7"/>
        <w:gridCol w:w="3030"/>
        <w:gridCol w:w="259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907" w:type="dxa"/>
            <w:tcBorders>
              <w:top w:val="single" w:color="auto" w:sz="4" w:space="0"/>
              <w:bottom w:val="single" w:color="auto" w:sz="4" w:space="0"/>
            </w:tcBorders>
            <w:noWrap w:val="0"/>
            <w:vAlign w:val="top"/>
          </w:tcPr>
          <w:p>
            <w:pPr>
              <w:ind w:firstLine="984" w:firstLineChars="350"/>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产品</w:t>
            </w:r>
          </w:p>
        </w:tc>
        <w:tc>
          <w:tcPr>
            <w:tcW w:w="3030" w:type="dxa"/>
            <w:tcBorders>
              <w:top w:val="single" w:color="auto" w:sz="4" w:space="0"/>
              <w:bottom w:val="single" w:color="auto" w:sz="4" w:space="0"/>
            </w:tcBorders>
            <w:noWrap w:val="0"/>
            <w:vAlign w:val="top"/>
          </w:tcPr>
          <w:p>
            <w:pPr>
              <w:pStyle w:val="6"/>
              <w:jc w:val="center"/>
              <w:rPr>
                <w:rFonts w:hint="default" w:ascii="Times New Roman" w:hAnsi="Times New Roman" w:eastAsia="宋体"/>
                <w:b/>
                <w:bCs/>
                <w:color w:val="auto"/>
                <w:sz w:val="28"/>
                <w:szCs w:val="28"/>
                <w:lang w:val="en-US" w:eastAsia="zh-CN"/>
              </w:rPr>
            </w:pPr>
            <w:r>
              <w:rPr>
                <w:b/>
                <w:bCs/>
                <w:sz w:val="28"/>
                <w:szCs w:val="28"/>
              </w:rPr>
              <w:t>OX</w:t>
            </w:r>
            <w:r>
              <w:rPr>
                <w:rFonts w:hint="eastAsia"/>
                <w:b/>
                <w:bCs/>
                <w:sz w:val="28"/>
                <w:szCs w:val="28"/>
                <w:lang w:val="en-US" w:eastAsia="zh-CN"/>
              </w:rPr>
              <w:t>ST-806</w:t>
            </w:r>
          </w:p>
        </w:tc>
        <w:tc>
          <w:tcPr>
            <w:tcW w:w="2598" w:type="dxa"/>
            <w:tcBorders>
              <w:top w:val="single" w:color="auto" w:sz="4" w:space="0"/>
              <w:bottom w:val="single" w:color="auto" w:sz="4" w:space="0"/>
            </w:tcBorders>
            <w:noWrap w:val="0"/>
            <w:vAlign w:val="top"/>
          </w:tcPr>
          <w:p>
            <w:pPr>
              <w:pStyle w:val="6"/>
              <w:jc w:val="center"/>
              <w:rPr>
                <w:rFonts w:hint="eastAsia" w:ascii="Times New Roman" w:hAnsi="Times New Roman" w:eastAsia="宋体"/>
                <w:b/>
                <w:bCs/>
                <w:color w:val="auto"/>
                <w:sz w:val="28"/>
                <w:szCs w:val="28"/>
                <w:lang w:val="en-US" w:eastAsia="zh-CN"/>
              </w:rPr>
            </w:pPr>
            <w:r>
              <w:rPr>
                <w:rFonts w:hint="eastAsia" w:ascii="Times New Roman" w:hAnsi="Times New Roman"/>
                <w:b/>
                <w:bCs/>
                <w:color w:val="auto"/>
                <w:sz w:val="28"/>
                <w:szCs w:val="28"/>
                <w:lang w:val="en-US" w:eastAsia="zh-CN"/>
              </w:rPr>
              <w:t>检测标准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7"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外观（25℃）</w:t>
            </w:r>
          </w:p>
        </w:tc>
        <w:tc>
          <w:tcPr>
            <w:tcW w:w="303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白色片状至淡黄色片状</w:t>
            </w:r>
          </w:p>
        </w:tc>
        <w:tc>
          <w:tcPr>
            <w:tcW w:w="2598"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目测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7" w:type="dxa"/>
            <w:tcBorders>
              <w:top w:val="single" w:color="auto" w:sz="4" w:space="0"/>
              <w:bottom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bidi="ar-SA"/>
              </w:rPr>
            </w:pPr>
            <w:r>
              <w:rPr>
                <w:rFonts w:hint="eastAsia" w:ascii="Times New Roman" w:hAnsi="Times New Roman" w:eastAsia="宋体" w:cs="Times New Roman"/>
                <w:b/>
                <w:bCs/>
                <w:color w:val="333333"/>
                <w:kern w:val="0"/>
                <w:sz w:val="28"/>
                <w:szCs w:val="28"/>
                <w:lang w:val="en-US" w:eastAsia="zh-CN"/>
              </w:rPr>
              <w:t>pH 值（1%水溶液）</w:t>
            </w:r>
          </w:p>
        </w:tc>
        <w:tc>
          <w:tcPr>
            <w:tcW w:w="303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6.5±1.0</w:t>
            </w:r>
          </w:p>
        </w:tc>
        <w:tc>
          <w:tcPr>
            <w:tcW w:w="259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GB/T 6368-2008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羟值（</w:t>
            </w:r>
            <w:r>
              <w:rPr>
                <w:rFonts w:hint="default" w:ascii="Times New Roman" w:hAnsi="Times New Roman"/>
                <w:sz w:val="28"/>
                <w:szCs w:val="28"/>
                <w:u w:val="none"/>
              </w:rPr>
              <w:t>mgKOH/</w:t>
            </w:r>
            <w:r>
              <w:rPr>
                <w:rFonts w:hint="default" w:ascii="Times New Roman" w:hAnsi="Times New Roman"/>
                <w:sz w:val="28"/>
                <w:szCs w:val="28"/>
              </w:rPr>
              <w:t>g</w:t>
            </w:r>
            <w:r>
              <w:rPr>
                <w:rFonts w:hint="eastAsia" w:ascii="Times New Roman" w:hAnsi="Times New Roman"/>
                <w:sz w:val="28"/>
                <w:szCs w:val="28"/>
                <w:lang w:eastAsia="zh-CN"/>
              </w:rPr>
              <w:t>）</w:t>
            </w:r>
          </w:p>
        </w:tc>
        <w:tc>
          <w:tcPr>
            <w:tcW w:w="303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1</w:t>
            </w:r>
            <w:r>
              <w:rPr>
                <w:rFonts w:hint="eastAsia" w:ascii="Times New Roman" w:hAnsi="Times New Roman" w:eastAsia="宋体" w:cs="Times New Roman"/>
                <w:kern w:val="0"/>
                <w:sz w:val="28"/>
                <w:szCs w:val="28"/>
                <w:lang w:val="en-US" w:eastAsia="zh-CN"/>
              </w:rPr>
              <w:t>0.5</w:t>
            </w:r>
            <w:r>
              <w:rPr>
                <w:rFonts w:hint="default" w:ascii="Times New Roman" w:hAnsi="Times New Roman" w:eastAsia="宋体" w:cs="Times New Roman"/>
                <w:kern w:val="0"/>
                <w:sz w:val="28"/>
                <w:szCs w:val="28"/>
                <w:lang w:val="en-US" w:eastAsia="zh-CN"/>
              </w:rPr>
              <w:t>-1</w:t>
            </w:r>
            <w:r>
              <w:rPr>
                <w:rFonts w:hint="eastAsia" w:ascii="Times New Roman" w:hAnsi="Times New Roman" w:eastAsia="宋体" w:cs="Times New Roman"/>
                <w:kern w:val="0"/>
                <w:sz w:val="28"/>
                <w:szCs w:val="28"/>
                <w:lang w:val="en-US" w:eastAsia="zh-CN"/>
              </w:rPr>
              <w:t>2</w:t>
            </w:r>
            <w:r>
              <w:rPr>
                <w:rFonts w:hint="default" w:ascii="Times New Roman" w:hAnsi="Times New Roman" w:eastAsia="宋体" w:cs="Times New Roman"/>
                <w:kern w:val="0"/>
                <w:sz w:val="28"/>
                <w:szCs w:val="28"/>
                <w:lang w:val="en-US" w:eastAsia="zh-CN"/>
              </w:rPr>
              <w:t>.</w:t>
            </w:r>
            <w:r>
              <w:rPr>
                <w:rFonts w:hint="eastAsia" w:ascii="Times New Roman" w:hAnsi="Times New Roman" w:eastAsia="宋体" w:cs="Times New Roman"/>
                <w:kern w:val="0"/>
                <w:sz w:val="28"/>
                <w:szCs w:val="28"/>
                <w:lang w:val="en-US" w:eastAsia="zh-CN"/>
              </w:rPr>
              <w:t>0</w:t>
            </w:r>
          </w:p>
        </w:tc>
        <w:tc>
          <w:tcPr>
            <w:tcW w:w="259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rPr>
            </w:pPr>
            <w:r>
              <w:rPr>
                <w:rFonts w:hint="default" w:ascii="Times New Roman" w:hAnsi="Times New Roman" w:eastAsia="宋体" w:cs="Times New Roman"/>
                <w:kern w:val="0"/>
                <w:sz w:val="28"/>
                <w:szCs w:val="28"/>
                <w:lang w:val="en-US" w:eastAsia="zh-CN"/>
              </w:rPr>
              <w:t>GB/T 7383</w:t>
            </w:r>
            <w:r>
              <w:rPr>
                <w:rFonts w:hint="eastAsia" w:ascii="Times New Roman" w:hAnsi="Times New Roman" w:eastAsia="宋体" w:cs="Times New Roman"/>
                <w:kern w:val="0"/>
                <w:sz w:val="28"/>
                <w:szCs w:val="28"/>
                <w:lang w:val="en-US" w:eastAsia="zh-CN"/>
              </w:rPr>
              <w:t>-2007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碘值（</w:t>
            </w:r>
            <w:r>
              <w:rPr>
                <w:rFonts w:hint="default" w:ascii="Times New Roman" w:hAnsi="Times New Roman"/>
                <w:sz w:val="28"/>
                <w:szCs w:val="28"/>
              </w:rPr>
              <w:t>mgKOH/g</w:t>
            </w:r>
            <w:r>
              <w:rPr>
                <w:rFonts w:hint="eastAsia" w:ascii="Times New Roman" w:hAnsi="Times New Roman"/>
                <w:sz w:val="28"/>
                <w:szCs w:val="28"/>
                <w:lang w:eastAsia="zh-CN"/>
              </w:rPr>
              <w:t>）</w:t>
            </w:r>
          </w:p>
        </w:tc>
        <w:tc>
          <w:tcPr>
            <w:tcW w:w="303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4.5</w:t>
            </w:r>
          </w:p>
        </w:tc>
        <w:tc>
          <w:tcPr>
            <w:tcW w:w="2598" w:type="dxa"/>
            <w:tcBorders>
              <w:top w:val="single" w:color="auto" w:sz="4" w:space="0"/>
              <w:bottom w:val="single" w:color="auto" w:sz="4" w:space="0"/>
            </w:tcBorders>
            <w:noWrap w:val="0"/>
            <w:vAlign w:val="top"/>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rPr>
              <w:t>GB/T 13892</w:t>
            </w:r>
            <w:r>
              <w:rPr>
                <w:rFonts w:hint="eastAsia" w:ascii="Times New Roman" w:hAnsi="Times New Roman" w:eastAsia="宋体" w:cs="Times New Roman"/>
                <w:kern w:val="0"/>
                <w:sz w:val="28"/>
                <w:szCs w:val="28"/>
                <w:lang w:val="en-US" w:eastAsia="zh-CN"/>
              </w:rPr>
              <w:t>-2012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07" w:type="dxa"/>
            <w:tcBorders>
              <w:top w:val="single" w:color="auto" w:sz="4" w:space="0"/>
              <w:bottom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双键保留率（％）（≥）</w:t>
            </w:r>
          </w:p>
        </w:tc>
        <w:tc>
          <w:tcPr>
            <w:tcW w:w="303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85.0</w:t>
            </w:r>
          </w:p>
        </w:tc>
        <w:tc>
          <w:tcPr>
            <w:tcW w:w="2598"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比值</w:t>
            </w:r>
          </w:p>
        </w:tc>
      </w:tr>
    </w:tbl>
    <w:p>
      <w:pPr>
        <w:widowControl/>
        <w:spacing w:before="100" w:beforeAutospacing="1" w:after="100" w:afterAutospacing="1"/>
        <w:rPr>
          <w:rFonts w:ascii="Times New Roman" w:hAnsi="宋体" w:eastAsia="宋体" w:cs="Times New Roman"/>
          <w:color w:val="000000"/>
          <w:kern w:val="0"/>
          <w:sz w:val="28"/>
          <w:szCs w:val="28"/>
        </w:rPr>
      </w:pPr>
      <w:r>
        <w:rPr>
          <w:rFonts w:ascii="Times New Roman" w:hAnsi="宋体" w:eastAsia="宋体" w:cs="Times New Roman"/>
          <w:b/>
          <w:bCs/>
          <w:color w:val="FF0000"/>
          <w:kern w:val="0"/>
          <w:sz w:val="28"/>
          <w:szCs w:val="28"/>
        </w:rPr>
        <w:t>包装规格：</w:t>
      </w:r>
      <w:r>
        <w:rPr>
          <w:rFonts w:hint="eastAsia" w:ascii="Times New Roman" w:hAnsi="宋体" w:eastAsia="宋体" w:cs="Times New Roman"/>
          <w:color w:val="000000"/>
          <w:kern w:val="0"/>
          <w:sz w:val="28"/>
          <w:szCs w:val="28"/>
          <w:lang w:val="en-US" w:eastAsia="zh-CN"/>
        </w:rPr>
        <w:t>25Kg复合塑料编织袋或者25Kg复合塑料纸袋。</w:t>
      </w:r>
    </w:p>
    <w:p>
      <w:pPr>
        <w:autoSpaceDE w:val="0"/>
        <w:autoSpaceDN w:val="0"/>
        <w:adjustRightInd w:val="0"/>
        <w:jc w:val="left"/>
        <w:rPr>
          <w:rFonts w:ascii="Times New Roman" w:hAnsi="Times New Roman" w:eastAsia="宋体" w:cs="Times New Roman"/>
          <w:color w:val="000000"/>
          <w:kern w:val="0"/>
          <w:sz w:val="28"/>
          <w:szCs w:val="28"/>
        </w:rPr>
      </w:pPr>
      <w:r>
        <w:rPr>
          <w:rFonts w:ascii="Times New Roman" w:hAnsi="宋体" w:eastAsia="宋体" w:cs="Times New Roman"/>
          <w:b/>
          <w:bCs/>
          <w:color w:val="FF0000"/>
          <w:kern w:val="0"/>
          <w:sz w:val="28"/>
          <w:szCs w:val="28"/>
        </w:rPr>
        <w:t>贮运条件：</w:t>
      </w:r>
      <w:r>
        <w:rPr>
          <w:rFonts w:hint="eastAsia" w:ascii="Times New Roman" w:hAnsi="宋体" w:eastAsia="宋体" w:cs="Times New Roman"/>
          <w:color w:val="000000"/>
          <w:kern w:val="0"/>
          <w:sz w:val="28"/>
          <w:szCs w:val="28"/>
          <w:lang w:val="en-US" w:eastAsia="zh-CN"/>
        </w:rPr>
        <w:t>本品无毒、难燃，可按一般化学品运输规定办理，严禁与氧化剂、食用化学品等混运。贮存于干燥、阴凉、通风处，运输过程中要避免阳光直接照射和雨淋，贮运温度不宜高于40℃</w:t>
      </w:r>
      <w:r>
        <w:rPr>
          <w:rFonts w:ascii="Times New Roman" w:hAnsi="宋体" w:eastAsia="宋体" w:cs="Times New Roman"/>
          <w:color w:val="000000"/>
          <w:kern w:val="0"/>
          <w:sz w:val="28"/>
          <w:szCs w:val="28"/>
        </w:rPr>
        <w:t>。</w:t>
      </w:r>
      <w:r>
        <w:rPr>
          <w:rFonts w:ascii="Times New Roman" w:hAnsi="Times New Roman" w:eastAsia="宋体" w:cs="Times New Roman"/>
          <w:color w:val="000000"/>
          <w:kern w:val="0"/>
          <w:sz w:val="28"/>
          <w:szCs w:val="28"/>
        </w:rPr>
        <w:t xml:space="preserve"> </w:t>
      </w:r>
    </w:p>
    <w:p>
      <w:r>
        <w:rPr>
          <w:rFonts w:ascii="Times New Roman" w:hAnsi="宋体" w:eastAsia="宋体" w:cs="Times New Roman"/>
          <w:b/>
          <w:bCs/>
          <w:color w:val="FF0000"/>
          <w:kern w:val="0"/>
          <w:sz w:val="28"/>
          <w:szCs w:val="28"/>
        </w:rPr>
        <w:t>产品保质期：</w:t>
      </w:r>
      <w:r>
        <w:rPr>
          <w:rFonts w:hint="eastAsia" w:ascii="Times New Roman" w:hAnsi="宋体" w:eastAsia="宋体" w:cs="Times New Roman"/>
          <w:kern w:val="0"/>
          <w:sz w:val="28"/>
          <w:szCs w:val="28"/>
          <w:lang w:val="en-US" w:eastAsia="zh-CN"/>
        </w:rPr>
        <w:t>在规定的贮运条件下保质期</w:t>
      </w:r>
      <w:r>
        <w:rPr>
          <w:rFonts w:hint="eastAsia" w:ascii="Times New Roman" w:hAnsi="宋体" w:eastAsia="宋体" w:cs="Times New Roman"/>
          <w:kern w:val="0"/>
          <w:sz w:val="28"/>
          <w:szCs w:val="28"/>
        </w:rPr>
        <w:t>6个月。</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ascii="楷体" w:hAnsi="楷体" w:eastAsia="楷体" w:cs="楷体"/>
        <w:color w:val="002060"/>
        <w:sz w:val="21"/>
        <w:szCs w:val="21"/>
        <w:lang w:val="en-US" w:eastAsia="zh-CN"/>
      </w:rPr>
    </w:pPr>
    <w:r>
      <w:rPr>
        <w:rFonts w:hint="eastAsia" w:ascii="宋体" w:hAnsi="宋体"/>
        <w:sz w:val="28"/>
        <w:szCs w:val="28"/>
      </w:rPr>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533400" cy="533400"/>
          <wp:effectExtent l="0" t="0" r="0" b="0"/>
          <wp:wrapNone/>
          <wp:docPr id="2" name="Picture 4" descr="奥克图标_招股书用_无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奥克图标_招股书用_无R"/>
                  <pic:cNvPicPr>
                    <a:picLocks noChangeAspect="1" noChangeArrowheads="1"/>
                  </pic:cNvPicPr>
                </pic:nvPicPr>
                <pic:blipFill>
                  <a:blip r:embed="rId1"/>
                  <a:srcRect/>
                  <a:stretch>
                    <a:fillRect/>
                  </a:stretch>
                </pic:blipFill>
                <pic:spPr>
                  <a:xfrm>
                    <a:off x="0" y="0"/>
                    <a:ext cx="533400" cy="533400"/>
                  </a:xfrm>
                  <a:prstGeom prst="rect">
                    <a:avLst/>
                  </a:prstGeom>
                  <a:noFill/>
                </pic:spPr>
              </pic:pic>
            </a:graphicData>
          </a:graphic>
        </wp:anchor>
      </w:drawing>
    </w:r>
    <w:r>
      <w:rPr>
        <w:rFonts w:hint="eastAsia" w:ascii="宋体" w:hAnsi="宋体"/>
        <w:sz w:val="28"/>
        <w:szCs w:val="28"/>
        <w:lang w:val="en-US" w:eastAsia="zh-CN"/>
      </w:rPr>
      <w:t xml:space="preserve">                                              </w:t>
    </w:r>
    <w:r>
      <w:rPr>
        <w:rFonts w:hint="eastAsia" w:ascii="楷体" w:hAnsi="楷体" w:eastAsia="楷体" w:cs="楷体"/>
        <w:color w:val="002060"/>
        <w:sz w:val="21"/>
        <w:szCs w:val="21"/>
        <w:lang w:val="en-US" w:eastAsia="zh-CN"/>
      </w:rPr>
      <w:t xml:space="preserve">共创共享  </w:t>
    </w:r>
  </w:p>
  <w:p>
    <w:pPr>
      <w:pStyle w:val="3"/>
      <w:ind w:firstLine="1050" w:firstLineChars="500"/>
      <w:jc w:val="left"/>
      <w:rPr>
        <w:rFonts w:hint="default" w:ascii="楷体" w:hAnsi="楷体" w:eastAsia="楷体" w:cs="楷体"/>
        <w:sz w:val="24"/>
        <w:szCs w:val="24"/>
        <w:lang w:val="en-US" w:eastAsia="zh-CN"/>
      </w:rPr>
    </w:pPr>
    <w:r>
      <w:rPr>
        <w:rFonts w:hint="eastAsia" w:ascii="楷体" w:hAnsi="楷体" w:eastAsia="楷体" w:cs="楷体"/>
        <w:color w:val="002060"/>
        <w:sz w:val="21"/>
        <w:szCs w:val="21"/>
        <w:lang w:val="en-US" w:eastAsia="zh-CN"/>
      </w:rPr>
      <w:t>OXRIAN Chemical Company                                     共和共荣</w:t>
    </w:r>
    <w:r>
      <w:rPr>
        <w:rFonts w:hint="eastAsia" w:ascii="楷体" w:hAnsi="楷体" w:eastAsia="楷体" w:cs="楷体"/>
        <w:color w:val="4472C4" w:themeColor="accent5"/>
        <w:sz w:val="21"/>
        <w:szCs w:val="21"/>
        <w:lang w:val="en-US" w:eastAsia="zh-CN"/>
        <w14:textFill>
          <w14:solidFill>
            <w14:schemeClr w14:val="accent5"/>
          </w14:solidFill>
        </w14:textFill>
      </w:rPr>
      <w:t xml:space="preserve"> </w:t>
    </w:r>
    <w:r>
      <w:rPr>
        <w:rFonts w:hint="eastAsia" w:ascii="宋体" w:hAnsi="宋体"/>
        <w:sz w:val="28"/>
        <w:szCs w:val="28"/>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6952"/>
    <w:rsid w:val="148F28A9"/>
    <w:rsid w:val="16EF233D"/>
    <w:rsid w:val="17EF0690"/>
    <w:rsid w:val="22C043B7"/>
    <w:rsid w:val="2406501C"/>
    <w:rsid w:val="25C6073E"/>
    <w:rsid w:val="43B05C1E"/>
    <w:rsid w:val="45FC6DF1"/>
    <w:rsid w:val="4B064BAC"/>
    <w:rsid w:val="5028391C"/>
    <w:rsid w:val="51DA5F42"/>
    <w:rsid w:val="5AF237BA"/>
    <w:rsid w:val="625545AF"/>
    <w:rsid w:val="6BB60439"/>
    <w:rsid w:val="71345A2F"/>
    <w:rsid w:val="733F28AB"/>
    <w:rsid w:val="73A2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2021-05-11T07:36:00Z</dcterms:created>
  <dc:creator>jyp13</dc:creator>
  <cp:lastModifiedBy>Administrator</cp:lastModifiedBy>
  <dcterms:modified xsi:type="dcterms:W3CDTF">2021-05-13T02:14:33Z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5D44AA1468514CEFBCFF2F5ECF44B845</vt:lpwstr>
  </property>
</Properties>
</file>