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color w:val="FF000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36"/>
          <w:lang w:val="en-US" w:eastAsia="zh-CN"/>
        </w:rPr>
        <w:t>OXJSJ-02产品说明书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28"/>
          <w:lang w:val="en-US" w:eastAsia="zh-CN"/>
        </w:rPr>
        <w:t>产品化学名称：</w:t>
      </w:r>
      <w:r>
        <w:rPr>
          <w:rFonts w:hint="eastAsia"/>
          <w:sz w:val="28"/>
          <w:szCs w:val="28"/>
          <w:lang w:val="en-US" w:eastAsia="zh-CN"/>
        </w:rPr>
        <w:t>固体聚羧酸系高性能减水剂</w:t>
      </w:r>
    </w:p>
    <w:bookmarkEnd w:id="0"/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28"/>
          <w:lang w:val="en-US" w:eastAsia="zh-CN"/>
        </w:rPr>
        <w:t>产品应用：</w:t>
      </w:r>
      <w:r>
        <w:rPr>
          <w:rFonts w:hint="eastAsia"/>
          <w:sz w:val="28"/>
          <w:szCs w:val="28"/>
          <w:lang w:val="en-US" w:eastAsia="zh-CN"/>
        </w:rPr>
        <w:t>本产品为本体聚合产物，适用于水泥净浆、砂浆、干混砂浆及混凝土中，可改善工作性能、降低水化放热速度，对混凝土和易性有一定的改善。适用于普通混凝土、泵送混凝土、高强度混凝土当中，与传统母液水剂相比在成本以及运输有很好的优势。可根据客户具体需要的减水剂浓度自行配置。</w:t>
      </w:r>
    </w:p>
    <w:p>
      <w:pP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</w:pPr>
      <w:r>
        <w:rPr>
          <w:rFonts w:ascii="Times New Roman" w:hAnsi="宋体" w:eastAsia="宋体" w:cs="Times New Roman"/>
          <w:b/>
          <w:bCs w:val="0"/>
          <w:color w:val="FF0000"/>
          <w:kern w:val="0"/>
          <w:sz w:val="28"/>
          <w:szCs w:val="28"/>
        </w:rPr>
        <w:t>质量指标：</w:t>
      </w:r>
    </w:p>
    <w:tbl>
      <w:tblPr>
        <w:tblStyle w:val="4"/>
        <w:tblW w:w="8535" w:type="dxa"/>
        <w:tblInd w:w="-123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  <w:gridCol w:w="3566"/>
        <w:gridCol w:w="258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3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产品</w:t>
            </w:r>
          </w:p>
        </w:tc>
        <w:tc>
          <w:tcPr>
            <w:tcW w:w="35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default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OXJSJ-02</w:t>
            </w:r>
          </w:p>
        </w:tc>
        <w:tc>
          <w:tcPr>
            <w:tcW w:w="25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检测标准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外观（25℃）</w:t>
            </w:r>
          </w:p>
        </w:tc>
        <w:tc>
          <w:tcPr>
            <w:tcW w:w="35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白色至浅黄色粉末状固体</w:t>
            </w:r>
          </w:p>
        </w:tc>
        <w:tc>
          <w:tcPr>
            <w:tcW w:w="25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目测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减水剂率（%）</w:t>
            </w:r>
          </w:p>
        </w:tc>
        <w:tc>
          <w:tcPr>
            <w:tcW w:w="35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≥25</w:t>
            </w:r>
          </w:p>
        </w:tc>
        <w:tc>
          <w:tcPr>
            <w:tcW w:w="25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GB/T8077-2012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PH（1%水溶液）</w:t>
            </w:r>
          </w:p>
        </w:tc>
        <w:tc>
          <w:tcPr>
            <w:tcW w:w="35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3-5</w:t>
            </w:r>
          </w:p>
        </w:tc>
        <w:tc>
          <w:tcPr>
            <w:tcW w:w="25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GB/T6368-2008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含气量（%）</w:t>
            </w:r>
          </w:p>
        </w:tc>
        <w:tc>
          <w:tcPr>
            <w:tcW w:w="35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≤3</w:t>
            </w:r>
          </w:p>
        </w:tc>
        <w:tc>
          <w:tcPr>
            <w:tcW w:w="25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GB/T8077-2012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固含量（%）</w:t>
            </w:r>
          </w:p>
        </w:tc>
        <w:tc>
          <w:tcPr>
            <w:tcW w:w="35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≥99</w:t>
            </w:r>
          </w:p>
        </w:tc>
        <w:tc>
          <w:tcPr>
            <w:tcW w:w="25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GB/T8077-2012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氯离子含量（%）</w:t>
            </w:r>
          </w:p>
        </w:tc>
        <w:tc>
          <w:tcPr>
            <w:tcW w:w="356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≤0.1</w:t>
            </w:r>
          </w:p>
        </w:tc>
        <w:tc>
          <w:tcPr>
            <w:tcW w:w="258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13"/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GB/T8077-2012</w:t>
            </w:r>
          </w:p>
        </w:tc>
      </w:tr>
    </w:tbl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包装规格：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25Kg</w:t>
      </w:r>
      <w:r>
        <w:rPr>
          <w:rFonts w:hint="eastAsia" w:ascii="Times New Roman" w:hAnsi="宋体" w:eastAsia="宋体" w:cs="Times New Roman"/>
          <w:color w:val="000000"/>
          <w:kern w:val="0"/>
          <w:sz w:val="28"/>
          <w:szCs w:val="28"/>
        </w:rPr>
        <w:t>复合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塑料编织袋</w:t>
      </w:r>
      <w:r>
        <w:rPr>
          <w:rFonts w:hint="eastAsia" w:ascii="Times New Roman" w:hAnsi="宋体" w:eastAsia="宋体" w:cs="Times New Roman"/>
          <w:color w:val="000000"/>
          <w:kern w:val="0"/>
          <w:sz w:val="28"/>
          <w:szCs w:val="28"/>
        </w:rPr>
        <w:t>或者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25Kg</w:t>
      </w:r>
      <w:r>
        <w:rPr>
          <w:rFonts w:hint="eastAsia" w:ascii="Times New Roman" w:hAnsi="宋体" w:eastAsia="宋体" w:cs="Times New Roman"/>
          <w:color w:val="000000"/>
          <w:kern w:val="0"/>
          <w:sz w:val="28"/>
          <w:szCs w:val="28"/>
        </w:rPr>
        <w:t>复合塑料纸袋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；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</w:pPr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贮运条件：</w:t>
      </w:r>
      <w:r>
        <w:rPr>
          <w:rFonts w:hint="eastAsia" w:ascii="Times New Roman" w:hAnsi="宋体" w:eastAsia="宋体" w:cs="Times New Roman"/>
          <w:b w:val="0"/>
          <w:bCs w:val="0"/>
          <w:color w:val="auto"/>
          <w:kern w:val="0"/>
          <w:sz w:val="28"/>
          <w:szCs w:val="28"/>
          <w:lang w:val="en-US" w:eastAsia="zh-CN"/>
        </w:rPr>
        <w:t>本</w:t>
      </w:r>
      <w:r>
        <w:rPr>
          <w:rFonts w:ascii="Times New Roman" w:hAnsi="宋体" w:eastAsia="宋体" w:cs="Times New Roman"/>
          <w:b w:val="0"/>
          <w:bCs w:val="0"/>
          <w:color w:val="auto"/>
          <w:kern w:val="0"/>
          <w:sz w:val="28"/>
          <w:szCs w:val="28"/>
        </w:rPr>
        <w:t>品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无毒、难燃，可按一般化学品运输规定办理，严禁与氧化剂、食用化学品等混装混运。贮存于干燥、</w:t>
      </w:r>
      <w:r>
        <w:rPr>
          <w:rFonts w:hint="eastAsia" w:ascii="Times New Roman" w:hAnsi="宋体" w:eastAsia="宋体" w:cs="Times New Roman"/>
          <w:color w:val="000000"/>
          <w:kern w:val="0"/>
          <w:sz w:val="28"/>
          <w:szCs w:val="28"/>
        </w:rPr>
        <w:t>阴凉、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通风处，</w:t>
      </w:r>
      <w:r>
        <w:rPr>
          <w:rFonts w:hint="eastAsia" w:ascii="Times New Roman" w:hAnsi="宋体" w:eastAsia="宋体" w:cs="Times New Roman"/>
          <w:color w:val="000000"/>
          <w:kern w:val="0"/>
          <w:sz w:val="28"/>
          <w:szCs w:val="28"/>
        </w:rPr>
        <w:t>运输过程中要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避免阳光</w:t>
      </w:r>
      <w:r>
        <w:rPr>
          <w:rFonts w:hint="eastAsia" w:ascii="Times New Roman" w:hAnsi="宋体" w:eastAsia="宋体" w:cs="Times New Roman"/>
          <w:color w:val="000000"/>
          <w:kern w:val="0"/>
          <w:sz w:val="28"/>
          <w:szCs w:val="28"/>
        </w:rPr>
        <w:t>直接照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射和雨淋</w:t>
      </w:r>
      <w:r>
        <w:rPr>
          <w:rFonts w:hint="eastAsia" w:ascii="Times New Roman" w:hAnsi="宋体" w:eastAsia="宋体" w:cs="Times New Roman"/>
          <w:color w:val="000000"/>
          <w:kern w:val="0"/>
          <w:sz w:val="28"/>
          <w:szCs w:val="28"/>
        </w:rPr>
        <w:t>，贮运温度不宜高于</w:t>
      </w:r>
      <w:r>
        <w:rPr>
          <w:rFonts w:hint="eastAsia" w:ascii="Times New Roman" w:hAnsi="宋体" w:eastAsia="宋体" w:cs="Times New Roman"/>
          <w:color w:val="000000"/>
          <w:kern w:val="0"/>
          <w:sz w:val="28"/>
          <w:szCs w:val="28"/>
          <w:lang w:val="en-US" w:eastAsia="zh-CN"/>
        </w:rPr>
        <w:t>35</w:t>
      </w:r>
      <w:r>
        <w:rPr>
          <w:rFonts w:hint="eastAsia" w:ascii="Times New Roman" w:hAnsi="宋体" w:eastAsia="宋体" w:cs="Times New Roman"/>
          <w:color w:val="000000"/>
          <w:kern w:val="0"/>
          <w:sz w:val="28"/>
          <w:szCs w:val="28"/>
        </w:rPr>
        <w:t>℃。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 xml:space="preserve"> </w:t>
      </w:r>
    </w:p>
    <w:p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产品保质期：</w:t>
      </w:r>
      <w:r>
        <w:rPr>
          <w:rFonts w:ascii="Times New Roman" w:hAnsi="宋体" w:eastAsia="宋体" w:cs="Times New Roman"/>
          <w:kern w:val="0"/>
          <w:sz w:val="28"/>
          <w:szCs w:val="28"/>
        </w:rPr>
        <w:t>在规定的贮运条件下保质期</w:t>
      </w:r>
      <w:r>
        <w:rPr>
          <w:rFonts w:hint="eastAsia" w:ascii="Times New Roman" w:hAnsi="宋体" w:eastAsia="宋体" w:cs="Times New Roman"/>
          <w:kern w:val="0"/>
          <w:sz w:val="28"/>
          <w:szCs w:val="28"/>
          <w:lang w:val="en-US" w:eastAsia="zh-CN"/>
        </w:rPr>
        <w:t>3</w:t>
      </w:r>
      <w:r>
        <w:rPr>
          <w:rFonts w:ascii="Times New Roman" w:hAnsi="宋体" w:eastAsia="宋体" w:cs="Times New Roman"/>
          <w:kern w:val="0"/>
          <w:sz w:val="28"/>
          <w:szCs w:val="28"/>
        </w:rPr>
        <w:t>个月。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</w:pPr>
    <w:r>
      <w:rPr>
        <w:rFonts w:hint="eastAsia" w:ascii="宋体" w:hAnsi="宋体"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-160020</wp:posOffset>
          </wp:positionV>
          <wp:extent cx="533400" cy="533400"/>
          <wp:effectExtent l="0" t="0" r="0" b="0"/>
          <wp:wrapNone/>
          <wp:docPr id="2" name="Picture 4" descr="奥克图标_招股书用_无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奥克图标_招股书用_无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宋体" w:hAnsi="宋体"/>
        <w:sz w:val="28"/>
        <w:szCs w:val="28"/>
        <w:lang w:val="en-US" w:eastAsia="zh-CN"/>
      </w:rPr>
      <w:t xml:space="preserve">                                              </w:t>
    </w:r>
    <w:r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  <w:t xml:space="preserve">共创共享  </w:t>
    </w:r>
  </w:p>
  <w:p>
    <w:pPr>
      <w:pStyle w:val="3"/>
      <w:ind w:firstLine="1050" w:firstLineChars="500"/>
      <w:jc w:val="left"/>
      <w:rPr>
        <w:rFonts w:hint="default" w:ascii="楷体" w:hAnsi="楷体" w:eastAsia="楷体" w:cs="楷体"/>
        <w:sz w:val="24"/>
        <w:szCs w:val="24"/>
        <w:lang w:val="en-US" w:eastAsia="zh-CN"/>
      </w:rPr>
    </w:pPr>
    <w:r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  <w:t>OXRIAN Chemical Company                                     共和共荣</w:t>
    </w:r>
    <w:r>
      <w:rPr>
        <w:rFonts w:hint="eastAsia" w:ascii="楷体" w:hAnsi="楷体" w:eastAsia="楷体" w:cs="楷体"/>
        <w:color w:val="4472C4" w:themeColor="accent5"/>
        <w:sz w:val="21"/>
        <w:szCs w:val="21"/>
        <w:lang w:val="en-US" w:eastAsia="zh-CN"/>
        <w14:textFill>
          <w14:solidFill>
            <w14:schemeClr w14:val="accent5"/>
          </w14:solidFill>
        </w14:textFill>
      </w:rPr>
      <w:t xml:space="preserve"> </w:t>
    </w:r>
    <w:r>
      <w:rPr>
        <w:rFonts w:hint="eastAsia" w:ascii="宋体" w:hAnsi="宋体"/>
        <w:sz w:val="28"/>
        <w:szCs w:val="28"/>
        <w:lang w:val="en-US" w:eastAsia="zh-CN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6687D"/>
    <w:rsid w:val="04B027E2"/>
    <w:rsid w:val="0C8F6952"/>
    <w:rsid w:val="0E524009"/>
    <w:rsid w:val="16EF233D"/>
    <w:rsid w:val="17015D6B"/>
    <w:rsid w:val="22C043B7"/>
    <w:rsid w:val="25C6073E"/>
    <w:rsid w:val="2676092D"/>
    <w:rsid w:val="2CBB2D71"/>
    <w:rsid w:val="305854B2"/>
    <w:rsid w:val="375908C8"/>
    <w:rsid w:val="381A0E1C"/>
    <w:rsid w:val="43B05C1E"/>
    <w:rsid w:val="45FC6DF1"/>
    <w:rsid w:val="48A16748"/>
    <w:rsid w:val="5028391C"/>
    <w:rsid w:val="51DA5F42"/>
    <w:rsid w:val="58030512"/>
    <w:rsid w:val="5AF237BA"/>
    <w:rsid w:val="5D161C2C"/>
    <w:rsid w:val="60C03E81"/>
    <w:rsid w:val="6BB6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007BFF"/>
      <w:u w:val="none"/>
    </w:rPr>
  </w:style>
  <w:style w:type="character" w:styleId="9">
    <w:name w:val="Hyperlink"/>
    <w:basedOn w:val="6"/>
    <w:qFormat/>
    <w:uiPriority w:val="0"/>
    <w:rPr>
      <w:color w:val="007BFF"/>
      <w:u w:val="none"/>
    </w:rPr>
  </w:style>
  <w:style w:type="character" w:styleId="10">
    <w:name w:val="HTML Code"/>
    <w:basedOn w:val="6"/>
    <w:qFormat/>
    <w:uiPriority w:val="0"/>
    <w:rPr>
      <w:rFonts w:ascii="Consolas" w:hAnsi="Consolas" w:eastAsia="Consolas" w:cs="Consolas"/>
      <w:color w:val="E83E8C"/>
      <w:sz w:val="21"/>
      <w:szCs w:val="21"/>
    </w:rPr>
  </w:style>
  <w:style w:type="character" w:styleId="11">
    <w:name w:val="HTML Keyboard"/>
    <w:basedOn w:val="6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212529"/>
    </w:rPr>
  </w:style>
  <w:style w:type="character" w:styleId="12">
    <w:name w:val="HTML Sampl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3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character" w:customStyle="1" w:styleId="14">
    <w:name w:val="before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2021-05-11T07:36:00Z</dcterms:created>
  <dc:creator>jyp13</dc:creator>
  <cp:lastModifiedBy>爱在下一光年</cp:lastModifiedBy>
  <dcterms:modified xsi:type="dcterms:W3CDTF">2021-05-13T02:38:36Z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ICV">
    <vt:lpwstr>5D44AA1468514CEFBCFF2F5ECF44B845</vt:lpwstr>
  </property>
</Properties>
</file>