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OXJSJ-03产品说明书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/>
          <w:sz w:val="28"/>
          <w:szCs w:val="28"/>
          <w:lang w:val="en-US" w:eastAsia="zh-CN"/>
        </w:rPr>
        <w:t>固体聚羧酸系高性能减水剂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本产品为本体聚合产物，具有高减水、高保坍型的性能，最大的优点就是具有非常优良的保坍性。适用于水泥净浆、砂浆、干混砂浆及混凝土中，可改善工作性能、降低水化放热速度，对混凝土和易性有一定的改善。适用于普通混凝土、泵送混凝土、高强度混凝土当中，与传统母液水剂相比在成本以及运输有很好的优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3566"/>
        <w:gridCol w:w="25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OXJSJ-03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白色至浅黄色粉末状固体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减水剂率（%）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≥25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PH（1%水溶液）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3-5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含气量（%）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≤3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固含量（%）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≥99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氯离子含量（%）</w:t>
            </w:r>
          </w:p>
        </w:tc>
        <w:tc>
          <w:tcPr>
            <w:tcW w:w="356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≤0.1</w:t>
            </w:r>
          </w:p>
        </w:tc>
        <w:tc>
          <w:tcPr>
            <w:tcW w:w="258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bookmarkEnd w:id="0"/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复合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塑料编织袋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或者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复合塑料纸袋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本</w:t>
      </w:r>
      <w:r>
        <w:rPr>
          <w:rFonts w:ascii="Times New Roman" w:hAnsi="宋体" w:eastAsia="宋体" w:cs="Times New Roman"/>
          <w:b w:val="0"/>
          <w:bCs w:val="0"/>
          <w:color w:val="auto"/>
          <w:kern w:val="0"/>
          <w:sz w:val="28"/>
          <w:szCs w:val="28"/>
        </w:rPr>
        <w:t>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无毒、难燃，可按一般化学品运输规定办理，严禁与氧化剂、食用化学品等混装混运。贮存于干燥、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阴凉、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通风处，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运输过程中要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避免阳光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直接照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射和雨淋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，贮运温度不宜高于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35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687D"/>
    <w:rsid w:val="04B027E2"/>
    <w:rsid w:val="0C8F6952"/>
    <w:rsid w:val="0E524009"/>
    <w:rsid w:val="16B0169D"/>
    <w:rsid w:val="16EF233D"/>
    <w:rsid w:val="22C043B7"/>
    <w:rsid w:val="25C6073E"/>
    <w:rsid w:val="2676092D"/>
    <w:rsid w:val="2CBB2D71"/>
    <w:rsid w:val="305854B2"/>
    <w:rsid w:val="375908C8"/>
    <w:rsid w:val="3CD751D6"/>
    <w:rsid w:val="43B05C1E"/>
    <w:rsid w:val="45FC6DF1"/>
    <w:rsid w:val="5028391C"/>
    <w:rsid w:val="51DA5F42"/>
    <w:rsid w:val="58030512"/>
    <w:rsid w:val="5AF237BA"/>
    <w:rsid w:val="5D161C2C"/>
    <w:rsid w:val="60C03E81"/>
    <w:rsid w:val="65A502BF"/>
    <w:rsid w:val="6BB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7BFF"/>
      <w:u w:val="none"/>
    </w:rPr>
  </w:style>
  <w:style w:type="character" w:styleId="9">
    <w:name w:val="Hyperlink"/>
    <w:basedOn w:val="6"/>
    <w:qFormat/>
    <w:uiPriority w:val="0"/>
    <w:rPr>
      <w:color w:val="007BFF"/>
      <w:u w:val="none"/>
    </w:rPr>
  </w:style>
  <w:style w:type="character" w:styleId="10">
    <w:name w:val="HTML Code"/>
    <w:basedOn w:val="6"/>
    <w:qFormat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1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2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befor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爱在下一光年</cp:lastModifiedBy>
  <dcterms:modified xsi:type="dcterms:W3CDTF">2021-05-13T02:38:37Z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5D44AA1468514CEFBCFF2F5ECF44B845</vt:lpwstr>
  </property>
</Properties>
</file>