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OXAB-501产品说明书</w:t>
      </w:r>
    </w:p>
    <w:bookmarkEnd w:id="0"/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烷撑烯基聚氧乙烯醚</w:t>
      </w:r>
    </w:p>
    <w:p>
      <w:pPr>
        <w:rPr>
          <w:rFonts w:hint="eastAsia" w:hAnsi="宋体" w:eastAsia="宋体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OXAB-501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产品采用国际领先的全自动生产线和窄分布催化聚合生产工艺、生产批量大、质量稳定、且具有分子量分布窄、杂质含量低、聚合反应活性高等特点。所合成的减水剂保坍性能突出，适应性好、综合性能优越。水溶液稳定，可配制成水剂产品销售，使用更方便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3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340"/>
        <w:gridCol w:w="31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z w:val="28"/>
                <w:szCs w:val="28"/>
              </w:rPr>
              <w:t>OX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AC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501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白色片状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22.0-25.0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GB/T7383-2007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9.6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GB/T13892-2012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PH值 （ 1％水溶液）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5.0-7.0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 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比值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片状产品采用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25kg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复合塑料编织袋或纸袋包装；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本品无毒、难燃，可按一般化学品运输规定办理，严禁与氧化剂、还原剂、酸类物质、水等其他化学品混装储运。储存于干燥、阴凉、通风处，运输过程中避免阳光直接照射和雨淋，储存温度不宜高于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40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 Awesome 5 Fre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2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F77FF"/>
    <w:rsid w:val="2DAB78B2"/>
    <w:rsid w:val="36791305"/>
    <w:rsid w:val="7C57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7BFF"/>
      <w:u w:val="none"/>
    </w:rPr>
  </w:style>
  <w:style w:type="character" w:styleId="7">
    <w:name w:val="Hyperlink"/>
    <w:basedOn w:val="4"/>
    <w:uiPriority w:val="0"/>
    <w:rPr>
      <w:color w:val="007BFF"/>
      <w:u w:val="none"/>
    </w:rPr>
  </w:style>
  <w:style w:type="character" w:styleId="8">
    <w:name w:val="HTML Code"/>
    <w:basedOn w:val="4"/>
    <w:uiPriority w:val="0"/>
    <w:rPr>
      <w:rFonts w:ascii="Consolas" w:hAnsi="Consolas" w:eastAsia="Consolas" w:cs="Consolas"/>
      <w:color w:val="E83E8C"/>
      <w:sz w:val="21"/>
      <w:szCs w:val="21"/>
    </w:rPr>
  </w:style>
  <w:style w:type="character" w:styleId="9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0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2">
    <w:name w:val="before"/>
    <w:basedOn w:val="4"/>
    <w:uiPriority w:val="0"/>
  </w:style>
  <w:style w:type="character" w:customStyle="1" w:styleId="13">
    <w:name w:val="before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2021-05-13T01:56:16Z</dcterms:created>
  <dc:creator>jyp13</dc:creator>
  <cp:lastModifiedBy>爱在下一光年</cp:lastModifiedBy>
  <dcterms:modified xsi:type="dcterms:W3CDTF">2021-05-13T02:11:21Z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