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OXHP-702产品说明书</w:t>
      </w:r>
      <w:bookmarkEnd w:id="0"/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烷撑烯基聚氧乙烯醚</w:t>
      </w:r>
    </w:p>
    <w:p>
      <w:pPr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OXHP-702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t>是</w:t>
      </w:r>
      <w:r>
        <w:rPr>
          <w:rFonts w:hint="eastAsia" w:hAnsi="宋体"/>
          <w:sz w:val="28"/>
          <w:szCs w:val="28"/>
          <w:lang w:val="en-US" w:eastAsia="zh-CN"/>
        </w:rPr>
        <w:t>在分子水平上创新设计的一种新型聚羧酸减水剂专用聚醚单体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eastAsia" w:hAnsi="宋体"/>
          <w:sz w:val="28"/>
          <w:szCs w:val="28"/>
          <w:lang w:val="en-US" w:eastAsia="zh-CN"/>
        </w:rPr>
        <w:t>本产品适用于合成对减水率有更高要求的减水剂产品，使用方便、性价比高、片状外观、水溶性好、水溶液稳定，可配制成水剂产品销售，使用更方便。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tbl>
      <w:tblPr>
        <w:tblStyle w:val="3"/>
        <w:tblW w:w="8535" w:type="dxa"/>
        <w:tblInd w:w="-1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2340"/>
        <w:gridCol w:w="319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984" w:firstLineChars="35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b/>
                <w:bCs/>
                <w:sz w:val="28"/>
                <w:szCs w:val="28"/>
              </w:rPr>
              <w:t>OX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AC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702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外观（25℃）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白色片状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羟值（</w:t>
            </w:r>
            <w:r>
              <w:rPr>
                <w:rFonts w:hint="default" w:ascii="Times New Roman" w:hAnsi="Times New Roman"/>
                <w:sz w:val="28"/>
                <w:szCs w:val="28"/>
                <w:u w:val="none"/>
              </w:rPr>
              <w:t>mgKOH/</w:t>
            </w:r>
            <w:r>
              <w:rPr>
                <w:rFonts w:hint="default" w:ascii="Times New Roman" w:hAnsi="Times New Roman"/>
                <w:sz w:val="28"/>
                <w:szCs w:val="28"/>
              </w:rPr>
              <w:t>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17.5-</w:t>
            </w:r>
            <w:r>
              <w:rPr>
                <w:rFonts w:hint="default"/>
                <w:color w:val="333333"/>
                <w:kern w:val="0"/>
                <w:sz w:val="28"/>
                <w:szCs w:val="28"/>
                <w:lang w:val="en-US" w:eastAsia="zh-CN"/>
              </w:rPr>
              <w:t>19.5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GB/T7383-2007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碘值（</w:t>
            </w:r>
            <w:r>
              <w:rPr>
                <w:rFonts w:hint="default" w:ascii="Times New Roman" w:hAnsi="Times New Roman"/>
                <w:sz w:val="28"/>
                <w:szCs w:val="28"/>
              </w:rPr>
              <w:t>mgKOH/g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7.4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GB/T13892-2012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PH值 （ 1％水溶液）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5.5-7.5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 6368-2008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双键保留率（％）（≥）</w:t>
            </w:r>
          </w:p>
        </w:tc>
        <w:tc>
          <w:tcPr>
            <w:tcW w:w="234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比值</w:t>
            </w:r>
          </w:p>
        </w:tc>
      </w:tr>
    </w:tbl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片状产品采用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25kg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复合塑料编织袋或纸袋包装；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本品无毒、难燃，可按一般化学品运输规定办理，严禁与氧化剂、还原剂、酸类物质、水等其他化学品混装储运。储存于干燥、阴凉、通风处，运输过程中避免阳光直接照射和雨淋，储存温度不宜高于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40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℃。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ascii="Times New Roman" w:hAnsi="宋体" w:eastAsia="宋体" w:cs="Times New Roman"/>
          <w:kern w:val="0"/>
          <w:sz w:val="28"/>
          <w:szCs w:val="28"/>
        </w:rPr>
        <w:t>在规定的贮运条件下保质期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宋体" w:eastAsia="宋体" w:cs="Times New Roman"/>
          <w:kern w:val="0"/>
          <w:sz w:val="28"/>
          <w:szCs w:val="28"/>
        </w:rPr>
        <w:t>个月。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 Awesome 5 Fre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2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3B1B"/>
    <w:rsid w:val="0E696A69"/>
    <w:rsid w:val="176B3D48"/>
    <w:rsid w:val="30451807"/>
    <w:rsid w:val="475E2691"/>
    <w:rsid w:val="4ACE21C2"/>
    <w:rsid w:val="7BB6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7BFF"/>
      <w:u w:val="none"/>
    </w:rPr>
  </w:style>
  <w:style w:type="character" w:styleId="7">
    <w:name w:val="Hyperlink"/>
    <w:basedOn w:val="4"/>
    <w:uiPriority w:val="0"/>
    <w:rPr>
      <w:color w:val="007BFF"/>
      <w:u w:val="none"/>
    </w:rPr>
  </w:style>
  <w:style w:type="character" w:styleId="8">
    <w:name w:val="HTML Code"/>
    <w:basedOn w:val="4"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9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0">
    <w:name w:val="HTML Sample"/>
    <w:basedOn w:val="4"/>
    <w:uiPriority w:val="0"/>
    <w:rPr>
      <w:rFonts w:ascii="Consolas" w:hAnsi="Consolas" w:eastAsia="Consolas" w:cs="Consolas"/>
      <w:sz w:val="21"/>
      <w:szCs w:val="21"/>
    </w:rPr>
  </w:style>
  <w:style w:type="paragraph" w:customStyle="1" w:styleId="1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2">
    <w:name w:val="befor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2021-05-13T01:03:07Z</dcterms:created>
  <dc:creator>jyp13</dc:creator>
  <cp:lastModifiedBy>爱在下一光年</cp:lastModifiedBy>
  <dcterms:modified xsi:type="dcterms:W3CDTF">2021-05-13T02:11:18Z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