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药用聚乙二醇产品说明书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药用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聚乙二醇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药用聚乙二醇为水溶性药物制剂的重要辅料，常用于水溶性滴丸的赋形剂，软膏、栓剂软胶囊的基质；术前清肠剂及缓泻剂的主要原料，包衣粉中原料；化妆品中作为保湿剂应用。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eastAsia="zh-CN"/>
        </w:rPr>
        <w:t>产品种类</w:t>
      </w: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926"/>
        <w:gridCol w:w="292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PEG-200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PEG-300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PEG-400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PEG-600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PEG-1000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PEG-1500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PEG-3350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PEG-4000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PEG-6000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PEG-8000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PEG-10000</w:t>
            </w:r>
          </w:p>
        </w:tc>
        <w:tc>
          <w:tcPr>
            <w:tcW w:w="17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PEG-20000</w:t>
            </w:r>
          </w:p>
        </w:tc>
      </w:tr>
    </w:tbl>
    <w:p>
      <w:pPr>
        <w:widowControl/>
        <w:spacing w:before="100" w:beforeAutospacing="1" w:after="100" w:afterAutospacing="1"/>
        <w:rPr>
          <w:rFonts w:hint="default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注：聚乙二醇系列产品符合现行《中国药典》、《欧洲药典》、《美国药典》的标准。</w:t>
      </w:r>
    </w:p>
    <w:p>
      <w:pPr>
        <w:widowControl/>
        <w:spacing w:before="100" w:beforeAutospacing="1" w:after="100" w:afterAutospacing="1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液体产品采用25KG/桶或200Kg/桶包装，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或20Kg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系列产品无毒，不易燃，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在运输过程中应防止日晒、雨林，保持包装完整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。贮存于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阴凉、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干燥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通风处。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产品的保质期为2</w:t>
      </w:r>
      <w:bookmarkStart w:id="0" w:name="_GoBack"/>
      <w:bookmarkEnd w:id="0"/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年</w:t>
      </w:r>
      <w:r>
        <w:rPr>
          <w:rFonts w:ascii="Times New Roman" w:hAnsi="宋体" w:eastAsia="宋体" w:cs="Times New Roman"/>
          <w:kern w:val="0"/>
          <w:sz w:val="28"/>
          <w:szCs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7148"/>
    <w:rsid w:val="0C8F6952"/>
    <w:rsid w:val="0FCF3B10"/>
    <w:rsid w:val="16EF233D"/>
    <w:rsid w:val="1CA27B7C"/>
    <w:rsid w:val="22C043B7"/>
    <w:rsid w:val="25C6073E"/>
    <w:rsid w:val="3E156FCD"/>
    <w:rsid w:val="43B05C1E"/>
    <w:rsid w:val="45FC6DF1"/>
    <w:rsid w:val="47951052"/>
    <w:rsid w:val="5028391C"/>
    <w:rsid w:val="5AF237BA"/>
    <w:rsid w:val="63AF1989"/>
    <w:rsid w:val="6BB60439"/>
    <w:rsid w:val="6E3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2021-05-13T01:53:18Z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B1500B94E8924CBCA8D5D8AA9A84E4D3</vt:lpwstr>
  </property>
</Properties>
</file>