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color w:val="FF0000"/>
          <w:sz w:val="36"/>
          <w:szCs w:val="36"/>
          <w:lang w:val="en-US" w:eastAsia="zh-CN"/>
        </w:rPr>
      </w:pPr>
      <w:r>
        <w:rPr>
          <w:rFonts w:hint="eastAsia" w:asciiTheme="majorEastAsia" w:hAnsiTheme="majorEastAsia" w:eastAsiaTheme="majorEastAsia" w:cstheme="majorEastAsia"/>
          <w:b/>
          <w:bCs/>
          <w:color w:val="FF0000"/>
          <w:sz w:val="36"/>
          <w:szCs w:val="36"/>
          <w:lang w:val="en-US" w:eastAsia="zh-CN"/>
        </w:rPr>
        <w:t>药用硬脂酸聚烃氧（40）酯产品说明书</w:t>
      </w:r>
    </w:p>
    <w:p>
      <w:p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
          <w:bCs/>
          <w:color w:val="FF0000"/>
          <w:sz w:val="28"/>
          <w:szCs w:val="28"/>
          <w:lang w:val="en-US" w:eastAsia="zh-CN"/>
        </w:rPr>
        <w:t>产品化学名称：</w:t>
      </w:r>
      <w:r>
        <w:rPr>
          <w:rFonts w:hint="eastAsia" w:asciiTheme="majorEastAsia" w:hAnsiTheme="majorEastAsia" w:eastAsiaTheme="majorEastAsia" w:cstheme="majorEastAsia"/>
          <w:sz w:val="28"/>
          <w:szCs w:val="28"/>
          <w:lang w:val="en-US" w:eastAsia="zh-CN"/>
        </w:rPr>
        <w:t>药用硬脂酸聚烃氧（40）酯</w:t>
      </w:r>
    </w:p>
    <w:p>
      <w:p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
          <w:bCs/>
          <w:color w:val="FF0000"/>
          <w:sz w:val="28"/>
          <w:szCs w:val="28"/>
          <w:lang w:val="en-US" w:eastAsia="zh-CN"/>
        </w:rPr>
        <w:t>产品应用：</w:t>
      </w:r>
      <w:r>
        <w:rPr>
          <w:rFonts w:hint="eastAsia" w:asciiTheme="majorEastAsia" w:hAnsiTheme="majorEastAsia" w:eastAsiaTheme="majorEastAsia" w:cstheme="majorEastAsia"/>
          <w:sz w:val="28"/>
          <w:szCs w:val="28"/>
          <w:lang w:val="en-US" w:eastAsia="zh-CN"/>
        </w:rPr>
        <w:t>硬脂酸聚烃氧40酯主要是用作栓剂基质，如灭滴灵、黄体酮、洗必泰、消炎痛等。用作软膏的基质和乳化剂，以增加药物的分解和生物利用度，使软膏外观更加细腻、洁白、乳化均匀。硬脂酸聚烃氧40酯也可以作为滴丸基质，药物在其分散体系中的分散崩解以及在溶出中对药物增溶作用均比较优越。</w:t>
      </w:r>
    </w:p>
    <w:p>
      <w:pPr>
        <w:rPr>
          <w:rFonts w:ascii="Times New Roman" w:hAnsi="Times New Roman" w:eastAsia="宋体" w:cs="Times New Roman"/>
          <w:color w:val="333333"/>
          <w:kern w:val="0"/>
          <w:sz w:val="28"/>
          <w:szCs w:val="28"/>
        </w:rPr>
      </w:pPr>
      <w:r>
        <w:rPr>
          <w:rFonts w:hint="eastAsia" w:ascii="Times New Roman" w:hAnsi="宋体" w:eastAsia="宋体" w:cs="Times New Roman"/>
          <w:b/>
          <w:bCs w:val="0"/>
          <w:color w:val="FF0000"/>
          <w:kern w:val="0"/>
          <w:sz w:val="28"/>
          <w:szCs w:val="28"/>
          <w:lang w:eastAsia="zh-CN"/>
        </w:rPr>
        <w:t>质量指标</w:t>
      </w:r>
      <w:r>
        <w:rPr>
          <w:rFonts w:ascii="Times New Roman" w:hAnsi="宋体" w:eastAsia="宋体" w:cs="Times New Roman"/>
          <w:b/>
          <w:bCs w:val="0"/>
          <w:color w:val="FF0000"/>
          <w:kern w:val="0"/>
          <w:sz w:val="28"/>
          <w:szCs w:val="28"/>
        </w:rPr>
        <w:t>：</w:t>
      </w:r>
    </w:p>
    <w:tbl>
      <w:tblPr>
        <w:tblStyle w:val="4"/>
        <w:tblW w:w="8535" w:type="dxa"/>
        <w:tblInd w:w="-12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7"/>
        <w:gridCol w:w="2100"/>
        <w:gridCol w:w="343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997" w:type="dxa"/>
            <w:tcBorders>
              <w:top w:val="single" w:color="auto" w:sz="4" w:space="0"/>
              <w:bottom w:val="single" w:color="auto" w:sz="4" w:space="0"/>
            </w:tcBorders>
            <w:noWrap w:val="0"/>
            <w:vAlign w:val="top"/>
          </w:tcPr>
          <w:p>
            <w:pPr>
              <w:ind w:firstLine="984" w:firstLineChars="350"/>
              <w:jc w:val="both"/>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产品</w:t>
            </w:r>
          </w:p>
        </w:tc>
        <w:tc>
          <w:tcPr>
            <w:tcW w:w="2100" w:type="dxa"/>
            <w:tcBorders>
              <w:top w:val="single" w:color="auto" w:sz="4" w:space="0"/>
              <w:bottom w:val="single" w:color="auto" w:sz="4" w:space="0"/>
            </w:tcBorders>
            <w:noWrap w:val="0"/>
            <w:vAlign w:val="top"/>
          </w:tcPr>
          <w:p>
            <w:pPr>
              <w:pStyle w:val="6"/>
              <w:jc w:val="center"/>
              <w:rPr>
                <w:rFonts w:hint="default" w:ascii="Times New Roman" w:hAnsi="Times New Roman" w:eastAsia="宋体"/>
                <w:b/>
                <w:bCs/>
                <w:color w:val="auto"/>
                <w:sz w:val="28"/>
                <w:szCs w:val="28"/>
                <w:lang w:val="en-US" w:eastAsia="zh-CN"/>
              </w:rPr>
            </w:pPr>
            <w:r>
              <w:rPr>
                <w:rFonts w:hint="eastAsia"/>
                <w:b/>
                <w:bCs/>
                <w:sz w:val="28"/>
                <w:szCs w:val="28"/>
                <w:lang w:val="en-US" w:eastAsia="zh-CN"/>
              </w:rPr>
              <w:t>S40酯</w:t>
            </w:r>
          </w:p>
        </w:tc>
        <w:tc>
          <w:tcPr>
            <w:tcW w:w="3438" w:type="dxa"/>
            <w:tcBorders>
              <w:top w:val="single" w:color="auto" w:sz="4" w:space="0"/>
              <w:bottom w:val="single" w:color="auto" w:sz="4" w:space="0"/>
            </w:tcBorders>
            <w:noWrap w:val="0"/>
            <w:vAlign w:val="top"/>
          </w:tcPr>
          <w:p>
            <w:pPr>
              <w:pStyle w:val="6"/>
              <w:jc w:val="center"/>
              <w:rPr>
                <w:rFonts w:hint="eastAsia" w:ascii="Times New Roman" w:hAnsi="Times New Roman" w:eastAsia="宋体"/>
                <w:b/>
                <w:bCs/>
                <w:color w:val="auto"/>
                <w:sz w:val="28"/>
                <w:szCs w:val="28"/>
                <w:lang w:val="en-US" w:eastAsia="zh-CN"/>
              </w:rPr>
            </w:pPr>
            <w:r>
              <w:rPr>
                <w:rFonts w:hint="eastAsia" w:ascii="Times New Roman" w:hAnsi="Times New Roman"/>
                <w:b/>
                <w:bCs/>
                <w:color w:val="auto"/>
                <w:sz w:val="28"/>
                <w:szCs w:val="28"/>
                <w:lang w:val="en-US" w:eastAsia="zh-CN"/>
              </w:rPr>
              <w:t>检测标准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jc w:val="center"/>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外观（25℃）</w:t>
            </w:r>
          </w:p>
        </w:tc>
        <w:tc>
          <w:tcPr>
            <w:tcW w:w="210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白色蜡状固体</w:t>
            </w:r>
          </w:p>
        </w:tc>
        <w:tc>
          <w:tcPr>
            <w:tcW w:w="3438" w:type="dxa"/>
            <w:tcBorders>
              <w:top w:val="single" w:color="auto" w:sz="4" w:space="0"/>
              <w:bottom w:val="single" w:color="auto" w:sz="4" w:space="0"/>
            </w:tcBorders>
            <w:noWrap w:val="0"/>
            <w:vAlign w:val="top"/>
          </w:tcPr>
          <w:p>
            <w:pPr>
              <w:jc w:val="center"/>
              <w:rPr>
                <w:rFonts w:hint="eastAsia" w:ascii="Times New Roman" w:hAnsi="Times New Roman" w:eastAsia="宋体" w:cs="Times New Roman"/>
                <w:kern w:val="0"/>
                <w:sz w:val="28"/>
                <w:szCs w:val="28"/>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jc w:val="center"/>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熔点（℃）</w:t>
            </w:r>
          </w:p>
        </w:tc>
        <w:tc>
          <w:tcPr>
            <w:tcW w:w="210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46~51</w:t>
            </w:r>
          </w:p>
        </w:tc>
        <w:tc>
          <w:tcPr>
            <w:tcW w:w="3438" w:type="dxa"/>
            <w:tcBorders>
              <w:top w:val="single" w:color="auto" w:sz="4" w:space="0"/>
              <w:bottom w:val="single" w:color="auto" w:sz="4" w:space="0"/>
            </w:tcBorders>
            <w:noWrap w:val="0"/>
            <w:vAlign w:val="top"/>
          </w:tcPr>
          <w:p>
            <w:pPr>
              <w:jc w:val="center"/>
              <w:rPr>
                <w:rFonts w:hint="eastAsia" w:ascii="Times New Roman" w:hAnsi="Times New Roman" w:eastAsia="宋体" w:cs="Times New Roman"/>
                <w:kern w:val="0"/>
                <w:sz w:val="28"/>
                <w:szCs w:val="28"/>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ind w:firstLine="281" w:firstLineChars="100"/>
              <w:jc w:val="both"/>
              <w:rPr>
                <w:rFonts w:hint="eastAsia" w:ascii="Times New Roman" w:hAnsi="Times New Roman" w:cs="Times New Roman" w:eastAsiaTheme="minorEastAsia"/>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羟值（</w:t>
            </w:r>
            <w:r>
              <w:rPr>
                <w:rFonts w:hint="default" w:ascii="Times New Roman" w:hAnsi="Times New Roman"/>
                <w:sz w:val="28"/>
                <w:szCs w:val="28"/>
                <w:u w:val="none"/>
              </w:rPr>
              <w:t>mgKOH/</w:t>
            </w:r>
            <w:r>
              <w:rPr>
                <w:rFonts w:hint="default" w:ascii="Times New Roman" w:hAnsi="Times New Roman"/>
                <w:sz w:val="28"/>
                <w:szCs w:val="28"/>
              </w:rPr>
              <w:t>g</w:t>
            </w:r>
            <w:r>
              <w:rPr>
                <w:rFonts w:hint="eastAsia" w:ascii="Times New Roman" w:hAnsi="Times New Roman"/>
                <w:sz w:val="28"/>
                <w:szCs w:val="28"/>
                <w:lang w:eastAsia="zh-CN"/>
              </w:rPr>
              <w:t>）</w:t>
            </w:r>
          </w:p>
        </w:tc>
        <w:tc>
          <w:tcPr>
            <w:tcW w:w="210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eastAsia"/>
                <w:color w:val="333333"/>
                <w:kern w:val="0"/>
                <w:sz w:val="28"/>
                <w:szCs w:val="28"/>
                <w:lang w:val="en-US" w:eastAsia="zh-CN"/>
              </w:rPr>
              <w:t>22~38</w:t>
            </w:r>
          </w:p>
        </w:tc>
        <w:tc>
          <w:tcPr>
            <w:tcW w:w="3438" w:type="dxa"/>
            <w:tcBorders>
              <w:top w:val="single" w:color="auto" w:sz="4" w:space="0"/>
              <w:bottom w:val="single" w:color="auto" w:sz="4" w:space="0"/>
            </w:tcBorders>
            <w:noWrap w:val="0"/>
            <w:vAlign w:val="top"/>
          </w:tcPr>
          <w:p>
            <w:pPr>
              <w:jc w:val="center"/>
              <w:rPr>
                <w:rFonts w:ascii="Times New Roman" w:hAnsi="Times New Roman" w:eastAsia="宋体" w:cs="Times New Roman"/>
                <w:kern w:val="0"/>
                <w:sz w:val="28"/>
                <w:szCs w:val="2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jc w:val="center"/>
              <w:rPr>
                <w:rFonts w:hint="eastAsia" w:ascii="Times New Roman" w:hAnsi="Times New Roman" w:cs="Times New Roman" w:eastAsiaTheme="minorEastAsia"/>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酸值</w:t>
            </w:r>
          </w:p>
        </w:tc>
        <w:tc>
          <w:tcPr>
            <w:tcW w:w="210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eastAsia"/>
                <w:kern w:val="0"/>
                <w:sz w:val="28"/>
                <w:szCs w:val="28"/>
                <w:lang w:val="en-US" w:eastAsia="zh-CN"/>
              </w:rPr>
              <w:t>不大于2</w:t>
            </w:r>
          </w:p>
        </w:tc>
        <w:tc>
          <w:tcPr>
            <w:tcW w:w="3438" w:type="dxa"/>
            <w:tcBorders>
              <w:top w:val="single" w:color="auto" w:sz="4" w:space="0"/>
              <w:bottom w:val="single" w:color="auto" w:sz="4" w:space="0"/>
            </w:tcBorders>
            <w:noWrap w:val="0"/>
            <w:vAlign w:val="top"/>
          </w:tcPr>
          <w:p>
            <w:pPr>
              <w:jc w:val="center"/>
              <w:rPr>
                <w:rFonts w:ascii="Times New Roman" w:hAnsi="Times New Roman" w:eastAsia="宋体" w:cs="Times New Roman"/>
                <w:kern w:val="0"/>
                <w:sz w:val="28"/>
                <w:szCs w:val="2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tcBorders>
            <w:noWrap w:val="0"/>
            <w:vAlign w:val="top"/>
          </w:tcPr>
          <w:p>
            <w:pPr>
              <w:jc w:val="center"/>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皂化值</w:t>
            </w:r>
          </w:p>
        </w:tc>
        <w:tc>
          <w:tcPr>
            <w:tcW w:w="2100" w:type="dxa"/>
            <w:tcBorders>
              <w:top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25~35</w:t>
            </w:r>
          </w:p>
        </w:tc>
        <w:tc>
          <w:tcPr>
            <w:tcW w:w="3438" w:type="dxa"/>
            <w:tcBorders>
              <w:top w:val="single" w:color="auto" w:sz="4" w:space="0"/>
            </w:tcBorders>
            <w:noWrap w:val="0"/>
            <w:vAlign w:val="top"/>
          </w:tcPr>
          <w:p>
            <w:pPr>
              <w:jc w:val="center"/>
              <w:rPr>
                <w:rFonts w:ascii="Times New Roman" w:hAnsi="Times New Roman" w:eastAsia="宋体" w:cs="Times New Roman"/>
                <w:kern w:val="0"/>
                <w:sz w:val="28"/>
                <w:szCs w:val="28"/>
              </w:rPr>
            </w:pPr>
          </w:p>
        </w:tc>
      </w:tr>
    </w:tbl>
    <w:p>
      <w:p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注：产品符合2020版药典四部及通则</w:t>
      </w:r>
    </w:p>
    <w:p>
      <w:pPr>
        <w:widowControl/>
        <w:spacing w:before="100" w:beforeAutospacing="1" w:after="100" w:afterAutospacing="1"/>
        <w:rPr>
          <w:rFonts w:hint="default" w:ascii="宋体" w:hAnsi="宋体" w:eastAsia="宋体" w:cs="宋体"/>
          <w:i w:val="0"/>
          <w:iCs w:val="0"/>
          <w:caps w:val="0"/>
          <w:color w:val="000000"/>
          <w:spacing w:val="0"/>
          <w:sz w:val="28"/>
          <w:szCs w:val="28"/>
          <w:lang w:val="en-US" w:eastAsia="zh-CN"/>
        </w:rPr>
      </w:pPr>
      <w:r>
        <w:rPr>
          <w:rFonts w:ascii="Times New Roman" w:hAnsi="宋体" w:eastAsia="宋体" w:cs="Times New Roman"/>
          <w:b/>
          <w:bCs/>
          <w:color w:val="FF0000"/>
          <w:kern w:val="0"/>
          <w:sz w:val="28"/>
          <w:szCs w:val="28"/>
        </w:rPr>
        <w:t>包装规格：</w:t>
      </w:r>
      <w:r>
        <w:rPr>
          <w:rFonts w:hint="eastAsia" w:ascii="宋体" w:hAnsi="宋体" w:eastAsia="宋体" w:cs="宋体"/>
          <w:i w:val="0"/>
          <w:iCs w:val="0"/>
          <w:caps w:val="0"/>
          <w:color w:val="000000"/>
          <w:spacing w:val="0"/>
          <w:sz w:val="28"/>
          <w:szCs w:val="28"/>
        </w:rPr>
        <w:t>50公斤/塑料桶</w:t>
      </w:r>
      <w:r>
        <w:rPr>
          <w:rFonts w:hint="eastAsia" w:ascii="宋体" w:hAnsi="宋体" w:eastAsia="宋体" w:cs="宋体"/>
          <w:i w:val="0"/>
          <w:iCs w:val="0"/>
          <w:caps w:val="0"/>
          <w:color w:val="000000"/>
          <w:spacing w:val="0"/>
          <w:sz w:val="28"/>
          <w:szCs w:val="28"/>
          <w:lang w:val="en-US" w:eastAsia="zh-CN"/>
        </w:rPr>
        <w:t>。</w:t>
      </w:r>
    </w:p>
    <w:p>
      <w:pPr>
        <w:autoSpaceDE w:val="0"/>
        <w:autoSpaceDN w:val="0"/>
        <w:adjustRightInd w:val="0"/>
        <w:jc w:val="left"/>
        <w:rPr>
          <w:rFonts w:ascii="Times New Roman" w:hAnsi="Times New Roman" w:eastAsia="宋体" w:cs="Times New Roman"/>
          <w:color w:val="000000"/>
          <w:kern w:val="0"/>
          <w:sz w:val="28"/>
          <w:szCs w:val="28"/>
        </w:rPr>
      </w:pPr>
      <w:r>
        <w:rPr>
          <w:rFonts w:ascii="Times New Roman" w:hAnsi="宋体" w:eastAsia="宋体" w:cs="Times New Roman"/>
          <w:b/>
          <w:bCs/>
          <w:color w:val="FF0000"/>
          <w:kern w:val="0"/>
          <w:sz w:val="28"/>
          <w:szCs w:val="28"/>
        </w:rPr>
        <w:t>贮运条件：</w:t>
      </w:r>
      <w:r>
        <w:rPr>
          <w:rFonts w:hint="eastAsia" w:ascii="宋体" w:hAnsi="宋体" w:eastAsia="宋体" w:cs="宋体"/>
          <w:i w:val="0"/>
          <w:iCs w:val="0"/>
          <w:caps w:val="0"/>
          <w:color w:val="000000"/>
          <w:spacing w:val="0"/>
          <w:sz w:val="28"/>
          <w:szCs w:val="28"/>
        </w:rPr>
        <w:t>系列产品无毒，不易燃，</w:t>
      </w:r>
      <w:r>
        <w:rPr>
          <w:rFonts w:hint="eastAsia" w:ascii="宋体" w:hAnsi="宋体" w:eastAsia="宋体" w:cs="宋体"/>
          <w:i w:val="0"/>
          <w:iCs w:val="0"/>
          <w:caps w:val="0"/>
          <w:color w:val="000000"/>
          <w:spacing w:val="0"/>
          <w:sz w:val="28"/>
          <w:szCs w:val="28"/>
          <w:lang w:val="en-US" w:eastAsia="zh-CN"/>
        </w:rPr>
        <w:t>在运输过程中应防止日晒、雨淋，保持包装完整</w:t>
      </w:r>
      <w:r>
        <w:rPr>
          <w:rFonts w:hint="eastAsia" w:ascii="宋体" w:hAnsi="宋体" w:eastAsia="宋体" w:cs="宋体"/>
          <w:i w:val="0"/>
          <w:iCs w:val="0"/>
          <w:caps w:val="0"/>
          <w:color w:val="000000"/>
          <w:spacing w:val="0"/>
          <w:sz w:val="28"/>
          <w:szCs w:val="28"/>
        </w:rPr>
        <w:t>。贮存于</w:t>
      </w:r>
      <w:r>
        <w:rPr>
          <w:rFonts w:hint="eastAsia" w:ascii="宋体" w:hAnsi="宋体" w:eastAsia="宋体" w:cs="宋体"/>
          <w:i w:val="0"/>
          <w:iCs w:val="0"/>
          <w:caps w:val="0"/>
          <w:color w:val="000000"/>
          <w:spacing w:val="0"/>
          <w:sz w:val="28"/>
          <w:szCs w:val="28"/>
          <w:lang w:val="en-US" w:eastAsia="zh-CN"/>
        </w:rPr>
        <w:t>阴凉、</w:t>
      </w:r>
      <w:r>
        <w:rPr>
          <w:rFonts w:hint="eastAsia" w:ascii="宋体" w:hAnsi="宋体" w:eastAsia="宋体" w:cs="宋体"/>
          <w:i w:val="0"/>
          <w:iCs w:val="0"/>
          <w:caps w:val="0"/>
          <w:color w:val="000000"/>
          <w:spacing w:val="0"/>
          <w:sz w:val="28"/>
          <w:szCs w:val="28"/>
        </w:rPr>
        <w:t>干燥</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通风处。</w:t>
      </w:r>
      <w:bookmarkStart w:id="0" w:name="_GoBack"/>
      <w:bookmarkEnd w:id="0"/>
    </w:p>
    <w:p>
      <w:r>
        <w:rPr>
          <w:rFonts w:ascii="Times New Roman" w:hAnsi="宋体" w:eastAsia="宋体" w:cs="Times New Roman"/>
          <w:b/>
          <w:bCs/>
          <w:color w:val="FF0000"/>
          <w:kern w:val="0"/>
          <w:sz w:val="28"/>
          <w:szCs w:val="28"/>
        </w:rPr>
        <w:t>产品保质期：</w:t>
      </w:r>
      <w:r>
        <w:rPr>
          <w:rFonts w:ascii="Times New Roman" w:hAnsi="宋体" w:eastAsia="宋体" w:cs="Times New Roman"/>
          <w:kern w:val="0"/>
          <w:sz w:val="28"/>
          <w:szCs w:val="28"/>
        </w:rPr>
        <w:t>在规定的贮运条件下</w:t>
      </w:r>
      <w:r>
        <w:rPr>
          <w:rFonts w:hint="eastAsia" w:ascii="Times New Roman" w:hAnsi="宋体" w:eastAsia="宋体" w:cs="Times New Roman"/>
          <w:kern w:val="0"/>
          <w:sz w:val="28"/>
          <w:szCs w:val="28"/>
          <w:lang w:val="en-US" w:eastAsia="zh-CN"/>
        </w:rPr>
        <w:t>产品的保质期为2年</w:t>
      </w:r>
      <w:r>
        <w:rPr>
          <w:rFonts w:ascii="Times New Roman" w:hAnsi="宋体" w:eastAsia="宋体" w:cs="Times New Roman"/>
          <w:kern w:val="0"/>
          <w:sz w:val="28"/>
          <w:szCs w:val="28"/>
        </w:rPr>
        <w: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ascii="楷体" w:hAnsi="楷体" w:eastAsia="楷体" w:cs="楷体"/>
        <w:color w:val="002060"/>
        <w:sz w:val="21"/>
        <w:szCs w:val="21"/>
        <w:lang w:val="en-US" w:eastAsia="zh-CN"/>
      </w:rPr>
    </w:pPr>
    <w:r>
      <w:rPr>
        <w:rFonts w:hint="eastAsia" w:ascii="宋体" w:hAnsi="宋体"/>
        <w:sz w:val="28"/>
        <w:szCs w:val="28"/>
      </w:rPr>
      <w:drawing>
        <wp:anchor distT="0" distB="0" distL="114300" distR="114300" simplePos="0" relativeHeight="251659264" behindDoc="0" locked="0" layoutInCell="1" allowOverlap="1">
          <wp:simplePos x="0" y="0"/>
          <wp:positionH relativeFrom="column">
            <wp:posOffset>28575</wp:posOffset>
          </wp:positionH>
          <wp:positionV relativeFrom="paragraph">
            <wp:posOffset>-160020</wp:posOffset>
          </wp:positionV>
          <wp:extent cx="533400" cy="533400"/>
          <wp:effectExtent l="0" t="0" r="0" b="0"/>
          <wp:wrapNone/>
          <wp:docPr id="2" name="Picture 4" descr="奥克图标_招股书用_无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奥克图标_招股书用_无R"/>
                  <pic:cNvPicPr>
                    <a:picLocks noChangeAspect="1" noChangeArrowheads="1"/>
                  </pic:cNvPicPr>
                </pic:nvPicPr>
                <pic:blipFill>
                  <a:blip r:embed="rId1"/>
                  <a:srcRect/>
                  <a:stretch>
                    <a:fillRect/>
                  </a:stretch>
                </pic:blipFill>
                <pic:spPr>
                  <a:xfrm>
                    <a:off x="0" y="0"/>
                    <a:ext cx="533400" cy="533400"/>
                  </a:xfrm>
                  <a:prstGeom prst="rect">
                    <a:avLst/>
                  </a:prstGeom>
                  <a:noFill/>
                </pic:spPr>
              </pic:pic>
            </a:graphicData>
          </a:graphic>
        </wp:anchor>
      </w:drawing>
    </w:r>
    <w:r>
      <w:rPr>
        <w:rFonts w:hint="eastAsia" w:ascii="宋体" w:hAnsi="宋体"/>
        <w:sz w:val="28"/>
        <w:szCs w:val="28"/>
        <w:lang w:val="en-US" w:eastAsia="zh-CN"/>
      </w:rPr>
      <w:t xml:space="preserve">                                              </w:t>
    </w:r>
    <w:r>
      <w:rPr>
        <w:rFonts w:hint="eastAsia" w:ascii="楷体" w:hAnsi="楷体" w:eastAsia="楷体" w:cs="楷体"/>
        <w:color w:val="002060"/>
        <w:sz w:val="21"/>
        <w:szCs w:val="21"/>
        <w:lang w:val="en-US" w:eastAsia="zh-CN"/>
      </w:rPr>
      <w:t xml:space="preserve">共创共享  </w:t>
    </w:r>
  </w:p>
  <w:p>
    <w:pPr>
      <w:pStyle w:val="3"/>
      <w:ind w:firstLine="1050" w:firstLineChars="500"/>
      <w:jc w:val="left"/>
      <w:rPr>
        <w:rFonts w:hint="default" w:ascii="楷体" w:hAnsi="楷体" w:eastAsia="楷体" w:cs="楷体"/>
        <w:sz w:val="24"/>
        <w:szCs w:val="24"/>
        <w:lang w:val="en-US" w:eastAsia="zh-CN"/>
      </w:rPr>
    </w:pPr>
    <w:r>
      <w:rPr>
        <w:rFonts w:hint="eastAsia" w:ascii="楷体" w:hAnsi="楷体" w:eastAsia="楷体" w:cs="楷体"/>
        <w:color w:val="002060"/>
        <w:sz w:val="21"/>
        <w:szCs w:val="21"/>
        <w:lang w:val="en-US" w:eastAsia="zh-CN"/>
      </w:rPr>
      <w:t>OXRIAN Chemical Company                                     共和共荣</w:t>
    </w:r>
    <w:r>
      <w:rPr>
        <w:rFonts w:hint="eastAsia" w:ascii="楷体" w:hAnsi="楷体" w:eastAsia="楷体" w:cs="楷体"/>
        <w:color w:val="4472C4" w:themeColor="accent5"/>
        <w:sz w:val="21"/>
        <w:szCs w:val="21"/>
        <w:lang w:val="en-US" w:eastAsia="zh-CN"/>
        <w14:textFill>
          <w14:solidFill>
            <w14:schemeClr w14:val="accent5"/>
          </w14:solidFill>
        </w14:textFill>
      </w:rPr>
      <w:t xml:space="preserve"> </w:t>
    </w:r>
    <w:r>
      <w:rPr>
        <w:rFonts w:hint="eastAsia" w:ascii="宋体" w:hAnsi="宋体"/>
        <w:sz w:val="28"/>
        <w:szCs w:val="28"/>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77148"/>
    <w:rsid w:val="05656DAE"/>
    <w:rsid w:val="0C8F6952"/>
    <w:rsid w:val="0D832264"/>
    <w:rsid w:val="0FCF3B10"/>
    <w:rsid w:val="16EF233D"/>
    <w:rsid w:val="1CA27B7C"/>
    <w:rsid w:val="22C043B7"/>
    <w:rsid w:val="25C6073E"/>
    <w:rsid w:val="3E156FCD"/>
    <w:rsid w:val="43B05C1E"/>
    <w:rsid w:val="45FC6DF1"/>
    <w:rsid w:val="47951052"/>
    <w:rsid w:val="47F93BED"/>
    <w:rsid w:val="5028391C"/>
    <w:rsid w:val="5AF237BA"/>
    <w:rsid w:val="5DCF715E"/>
    <w:rsid w:val="63AF1989"/>
    <w:rsid w:val="6BB60439"/>
    <w:rsid w:val="6E3D6400"/>
    <w:rsid w:val="77E84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unhideWhenUsed/>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2021-05-11T07:36:00Z</dcterms:created>
  <dc:creator>jyp13</dc:creator>
  <cp:lastModifiedBy>Administrator</cp:lastModifiedBy>
  <dcterms:modified xsi:type="dcterms:W3CDTF">2021-05-25T02:18:02Z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9743842E59BD453687AA92A988CFBEE2</vt:lpwstr>
  </property>
</Properties>
</file>