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ajorEastAsia" w:hAnsiTheme="majorEastAsia" w:eastAsiaTheme="majorEastAsia" w:cstheme="majorEastAsia"/>
          <w:color w:val="FF0000"/>
          <w:sz w:val="36"/>
          <w:szCs w:val="36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</w:t>
      </w:r>
      <w:r>
        <w:rPr>
          <w:rFonts w:hint="eastAsia"/>
          <w:color w:val="FF0000"/>
          <w:lang w:val="en-US" w:eastAsia="zh-CN"/>
        </w:rPr>
        <w:t xml:space="preserve"> </w:t>
      </w:r>
      <w:r>
        <w:rPr>
          <w:rFonts w:hint="eastAsia"/>
          <w:b/>
          <w:bCs/>
          <w:color w:val="FF0000"/>
          <w:lang w:val="en-US" w:eastAsia="zh-CN"/>
        </w:rPr>
        <w:t xml:space="preserve">   </w:t>
      </w:r>
      <w:r>
        <w:rPr>
          <w:rFonts w:hint="eastAsia" w:asciiTheme="majorEastAsia" w:hAnsiTheme="majorEastAsia" w:eastAsiaTheme="majorEastAsia" w:cstheme="majorEastAsia"/>
          <w:b/>
          <w:bCs/>
          <w:color w:val="FF0000"/>
          <w:sz w:val="36"/>
          <w:szCs w:val="36"/>
          <w:lang w:val="en-US" w:eastAsia="zh-CN"/>
        </w:rPr>
        <w:t>药用吐温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color w:val="FF0000"/>
          <w:sz w:val="36"/>
          <w:szCs w:val="36"/>
          <w:lang w:val="en-US" w:eastAsia="zh-CN"/>
        </w:rPr>
        <w:t>-80产品说明书</w:t>
      </w:r>
    </w:p>
    <w:p>
      <w:pPr>
        <w:rPr>
          <w:rFonts w:hint="eastAsia" w:ascii="宋体" w:hAnsi="宋体" w:eastAsia="宋体" w:cs="宋体"/>
          <w:b/>
          <w:kern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FF0000"/>
          <w:sz w:val="28"/>
          <w:szCs w:val="28"/>
          <w:lang w:val="en-US" w:eastAsia="zh-CN"/>
        </w:rPr>
        <w:t>产品化学名称：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聚氧乙烯20油酸山梨坦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FF0000"/>
          <w:sz w:val="28"/>
          <w:szCs w:val="28"/>
          <w:lang w:val="en-US" w:eastAsia="zh-CN"/>
        </w:rPr>
        <w:t>产品应用：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药用辅料，增溶剂、乳化剂和基质。</w:t>
      </w:r>
    </w:p>
    <w:p>
      <w:pPr>
        <w:rPr>
          <w:rFonts w:ascii="Times New Roman" w:hAnsi="宋体" w:eastAsia="宋体" w:cs="Times New Roman"/>
          <w:b/>
          <w:bCs w:val="0"/>
          <w:color w:val="FF0000"/>
          <w:kern w:val="0"/>
          <w:sz w:val="28"/>
          <w:szCs w:val="28"/>
        </w:rPr>
      </w:pPr>
      <w:r>
        <w:rPr>
          <w:rFonts w:hint="eastAsia" w:ascii="Times New Roman" w:hAnsi="宋体" w:eastAsia="宋体" w:cs="Times New Roman"/>
          <w:b/>
          <w:bCs w:val="0"/>
          <w:color w:val="FF0000"/>
          <w:kern w:val="0"/>
          <w:sz w:val="28"/>
          <w:szCs w:val="28"/>
          <w:lang w:eastAsia="zh-CN"/>
        </w:rPr>
        <w:t>产品</w:t>
      </w:r>
      <w:r>
        <w:rPr>
          <w:rFonts w:hint="eastAsia" w:ascii="Times New Roman" w:hAnsi="宋体" w:eastAsia="宋体" w:cs="Times New Roman"/>
          <w:b/>
          <w:bCs w:val="0"/>
          <w:color w:val="FF0000"/>
          <w:kern w:val="0"/>
          <w:sz w:val="28"/>
          <w:szCs w:val="28"/>
          <w:lang w:val="en-US" w:eastAsia="zh-CN"/>
        </w:rPr>
        <w:t>指标</w:t>
      </w:r>
      <w:r>
        <w:rPr>
          <w:rFonts w:ascii="Times New Roman" w:hAnsi="宋体" w:eastAsia="宋体" w:cs="Times New Roman"/>
          <w:b/>
          <w:bCs w:val="0"/>
          <w:color w:val="FF0000"/>
          <w:kern w:val="0"/>
          <w:sz w:val="28"/>
          <w:szCs w:val="28"/>
        </w:rPr>
        <w:t>：</w:t>
      </w:r>
    </w:p>
    <w:tbl>
      <w:tblPr>
        <w:tblStyle w:val="4"/>
        <w:tblpPr w:leftFromText="180" w:rightFromText="180" w:vertAnchor="text" w:horzAnchor="page" w:tblpXSpec="center" w:tblpY="251"/>
        <w:tblOverlap w:val="never"/>
        <w:tblW w:w="10577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9"/>
        <w:gridCol w:w="2845"/>
        <w:gridCol w:w="348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669" w:type="dxa"/>
            <w:noWrap w:val="0"/>
            <w:vAlign w:val="center"/>
          </w:tcPr>
          <w:p>
            <w:pPr>
              <w:ind w:right="4" w:firstLine="211" w:firstLineChars="100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szCs w:val="21"/>
              </w:rPr>
              <w:t>检验项目</w:t>
            </w:r>
          </w:p>
        </w:tc>
        <w:tc>
          <w:tcPr>
            <w:tcW w:w="2845" w:type="dxa"/>
            <w:noWrap w:val="0"/>
            <w:vAlign w:val="center"/>
          </w:tcPr>
          <w:p>
            <w:pPr>
              <w:ind w:right="4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szCs w:val="21"/>
              </w:rPr>
              <w:t>分析方法</w:t>
            </w:r>
          </w:p>
        </w:tc>
        <w:tc>
          <w:tcPr>
            <w:tcW w:w="3489" w:type="dxa"/>
            <w:noWrap w:val="0"/>
            <w:vAlign w:val="center"/>
          </w:tcPr>
          <w:p>
            <w:pPr>
              <w:ind w:right="4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szCs w:val="21"/>
              </w:rPr>
              <w:t>标准规定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exact"/>
          <w:jc w:val="center"/>
        </w:trPr>
        <w:tc>
          <w:tcPr>
            <w:tcW w:w="1669" w:type="dxa"/>
            <w:noWrap w:val="0"/>
            <w:vAlign w:val="center"/>
          </w:tcPr>
          <w:p>
            <w:pPr>
              <w:spacing w:line="180" w:lineRule="auto"/>
              <w:ind w:right="4" w:right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性状</w:t>
            </w:r>
          </w:p>
        </w:tc>
        <w:tc>
          <w:tcPr>
            <w:tcW w:w="28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uto"/>
              <w:ind w:left="0" w:leftChars="0" w:right="4" w:rightChars="0" w:firstLine="0" w:firstLineChars="0"/>
              <w:jc w:val="left"/>
              <w:textAlignment w:val="auto"/>
              <w:outlineLvl w:val="9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ChP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201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4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4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本品为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淡黄色至橙黄色的黏稠液体；微有特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臭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，味微苦略涩，有温热感。本品在水、乙醇、甲醇或乙酸乙酯中易溶，在矿物油中极微溶解。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669" w:type="dxa"/>
            <w:noWrap w:val="0"/>
            <w:vAlign w:val="center"/>
          </w:tcPr>
          <w:p>
            <w:pPr>
              <w:spacing w:line="180" w:lineRule="auto"/>
              <w:ind w:right="4" w:right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相对密度</w:t>
            </w:r>
          </w:p>
        </w:tc>
        <w:tc>
          <w:tcPr>
            <w:tcW w:w="2845" w:type="dxa"/>
            <w:noWrap w:val="0"/>
            <w:vAlign w:val="center"/>
          </w:tcPr>
          <w:p>
            <w:pPr>
              <w:spacing w:line="180" w:lineRule="auto"/>
              <w:ind w:right="4" w:rightChars="0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ChP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201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5 通则0601</w:t>
            </w:r>
          </w:p>
        </w:tc>
        <w:tc>
          <w:tcPr>
            <w:tcW w:w="3489" w:type="dxa"/>
            <w:noWrap w:val="0"/>
            <w:vAlign w:val="center"/>
          </w:tcPr>
          <w:p>
            <w:pPr>
              <w:spacing w:line="180" w:lineRule="auto"/>
              <w:ind w:right="4" w:right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1.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06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～1.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09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669" w:type="dxa"/>
            <w:noWrap w:val="0"/>
            <w:vAlign w:val="center"/>
          </w:tcPr>
          <w:p>
            <w:pPr>
              <w:spacing w:line="180" w:lineRule="auto"/>
              <w:ind w:right="4" w:right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黏度（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mm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superscript"/>
              </w:rPr>
              <w:t>2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/s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845" w:type="dxa"/>
            <w:noWrap w:val="0"/>
            <w:vAlign w:val="center"/>
          </w:tcPr>
          <w:p>
            <w:pPr>
              <w:spacing w:line="180" w:lineRule="auto"/>
              <w:ind w:right="4" w:rightChars="0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  <w:t>ChP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201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5 第一增补本及其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  <w:t>通则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0633第一法</w:t>
            </w:r>
          </w:p>
        </w:tc>
        <w:tc>
          <w:tcPr>
            <w:tcW w:w="3489" w:type="dxa"/>
            <w:noWrap w:val="0"/>
            <w:vAlign w:val="center"/>
          </w:tcPr>
          <w:p>
            <w:pPr>
              <w:spacing w:line="180" w:lineRule="auto"/>
              <w:ind w:right="4" w:rightChars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350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～5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50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669" w:type="dxa"/>
            <w:noWrap w:val="0"/>
            <w:vAlign w:val="center"/>
          </w:tcPr>
          <w:p>
            <w:pPr>
              <w:spacing w:line="180" w:lineRule="auto"/>
              <w:ind w:right="4" w:rightChars="0"/>
              <w:jc w:val="center"/>
              <w:rPr>
                <w:rFonts w:hint="eastAsia"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酸值</w:t>
            </w:r>
          </w:p>
        </w:tc>
        <w:tc>
          <w:tcPr>
            <w:tcW w:w="2845" w:type="dxa"/>
            <w:noWrap w:val="0"/>
            <w:vAlign w:val="center"/>
          </w:tcPr>
          <w:p>
            <w:pPr>
              <w:spacing w:line="180" w:lineRule="auto"/>
              <w:ind w:right="4" w:rightChars="0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  <w:t>ChP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201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5 通则0713</w:t>
            </w:r>
          </w:p>
        </w:tc>
        <w:tc>
          <w:tcPr>
            <w:tcW w:w="3489" w:type="dxa"/>
            <w:noWrap w:val="0"/>
            <w:vAlign w:val="center"/>
          </w:tcPr>
          <w:p>
            <w:pPr>
              <w:spacing w:line="180" w:lineRule="auto"/>
              <w:ind w:right="4" w:rightChars="0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  <w:t>不得过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2.0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66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180" w:lineRule="auto"/>
              <w:ind w:right="4" w:rightChars="0"/>
              <w:jc w:val="center"/>
              <w:rPr>
                <w:rFonts w:hint="eastAsia"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皂化值</w:t>
            </w:r>
          </w:p>
        </w:tc>
        <w:tc>
          <w:tcPr>
            <w:tcW w:w="284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180" w:lineRule="auto"/>
              <w:ind w:right="4" w:rightChars="0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  <w:t>ChP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201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5 通则0713</w:t>
            </w:r>
          </w:p>
        </w:tc>
        <w:tc>
          <w:tcPr>
            <w:tcW w:w="3489" w:type="dxa"/>
            <w:noWrap w:val="0"/>
            <w:vAlign w:val="center"/>
          </w:tcPr>
          <w:p>
            <w:pPr>
              <w:spacing w:line="180" w:lineRule="auto"/>
              <w:ind w:right="4" w:rightChars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45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～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55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66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180" w:lineRule="auto"/>
              <w:ind w:right="4" w:rightChars="0"/>
              <w:jc w:val="center"/>
              <w:rPr>
                <w:rFonts w:hint="eastAsia"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羟值</w:t>
            </w:r>
          </w:p>
        </w:tc>
        <w:tc>
          <w:tcPr>
            <w:tcW w:w="284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180" w:lineRule="auto"/>
              <w:ind w:right="4" w:rightChars="0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  <w:t>ChP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201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5 通则0713</w:t>
            </w:r>
          </w:p>
        </w:tc>
        <w:tc>
          <w:tcPr>
            <w:tcW w:w="3489" w:type="dxa"/>
            <w:noWrap w:val="0"/>
            <w:vAlign w:val="center"/>
          </w:tcPr>
          <w:p>
            <w:pPr>
              <w:spacing w:line="180" w:lineRule="auto"/>
              <w:ind w:right="4" w:rightChars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65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～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80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669" w:type="dxa"/>
            <w:noWrap w:val="0"/>
            <w:vAlign w:val="center"/>
          </w:tcPr>
          <w:p>
            <w:pPr>
              <w:spacing w:line="180" w:lineRule="auto"/>
              <w:ind w:right="4" w:rightChars="0"/>
              <w:jc w:val="center"/>
              <w:rPr>
                <w:rFonts w:hint="eastAsia"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碘值</w:t>
            </w:r>
          </w:p>
        </w:tc>
        <w:tc>
          <w:tcPr>
            <w:tcW w:w="2845" w:type="dxa"/>
            <w:noWrap w:val="0"/>
            <w:vAlign w:val="center"/>
          </w:tcPr>
          <w:p>
            <w:pPr>
              <w:spacing w:line="180" w:lineRule="auto"/>
              <w:ind w:right="4" w:rightChars="0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  <w:t>ChP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201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5 通则0713</w:t>
            </w:r>
          </w:p>
        </w:tc>
        <w:tc>
          <w:tcPr>
            <w:tcW w:w="3489" w:type="dxa"/>
            <w:noWrap w:val="0"/>
            <w:vAlign w:val="center"/>
          </w:tcPr>
          <w:p>
            <w:pPr>
              <w:spacing w:line="180" w:lineRule="auto"/>
              <w:ind w:right="4" w:rightChars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～2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669" w:type="dxa"/>
            <w:noWrap w:val="0"/>
            <w:vAlign w:val="center"/>
          </w:tcPr>
          <w:p>
            <w:pPr>
              <w:spacing w:line="180" w:lineRule="auto"/>
              <w:ind w:right="4" w:rightChars="0"/>
              <w:jc w:val="center"/>
              <w:rPr>
                <w:rFonts w:hint="eastAsia"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过氧化值</w:t>
            </w:r>
          </w:p>
        </w:tc>
        <w:tc>
          <w:tcPr>
            <w:tcW w:w="2845" w:type="dxa"/>
            <w:noWrap w:val="0"/>
            <w:vAlign w:val="center"/>
          </w:tcPr>
          <w:p>
            <w:pPr>
              <w:spacing w:line="180" w:lineRule="auto"/>
              <w:ind w:right="4" w:rightChars="0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  <w:t>ChP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201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5 通则0713</w:t>
            </w:r>
          </w:p>
        </w:tc>
        <w:tc>
          <w:tcPr>
            <w:tcW w:w="3489" w:type="dxa"/>
            <w:noWrap w:val="0"/>
            <w:vAlign w:val="center"/>
          </w:tcPr>
          <w:p>
            <w:pPr>
              <w:spacing w:line="180" w:lineRule="auto"/>
              <w:ind w:right="4" w:rightChars="0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  <w:t>不得过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669" w:type="dxa"/>
            <w:noWrap w:val="0"/>
            <w:vAlign w:val="center"/>
          </w:tcPr>
          <w:p>
            <w:pPr>
              <w:spacing w:line="180" w:lineRule="auto"/>
              <w:ind w:right="4" w:rightChars="0"/>
              <w:jc w:val="center"/>
              <w:rPr>
                <w:rFonts w:hint="eastAsia"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鉴别</w:t>
            </w:r>
          </w:p>
        </w:tc>
        <w:tc>
          <w:tcPr>
            <w:tcW w:w="2845" w:type="dxa"/>
            <w:noWrap w:val="0"/>
            <w:vAlign w:val="center"/>
          </w:tcPr>
          <w:p>
            <w:pPr>
              <w:spacing w:line="180" w:lineRule="auto"/>
              <w:ind w:right="4" w:rightChars="0"/>
              <w:jc w:val="left"/>
              <w:rPr>
                <w:rFonts w:hint="default" w:ascii="Times New Roman" w:hAnsi="Times New Roman"/>
                <w:szCs w:val="21"/>
                <w:lang w:val="en-US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  <w:t>ChP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201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5第一增补本</w:t>
            </w:r>
          </w:p>
        </w:tc>
        <w:tc>
          <w:tcPr>
            <w:tcW w:w="3489" w:type="dxa"/>
            <w:noWrap w:val="0"/>
            <w:vAlign w:val="center"/>
          </w:tcPr>
          <w:p>
            <w:pPr>
              <w:spacing w:line="180" w:lineRule="auto"/>
              <w:ind w:right="4" w:rightChars="0"/>
              <w:jc w:val="center"/>
              <w:rPr>
                <w:rFonts w:hint="default" w:ascii="Times New Roman" w:hAnsi="Times New Roman"/>
                <w:szCs w:val="21"/>
                <w:lang w:val="en-US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（1）（2）（3）（4）应符合规定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669" w:type="dxa"/>
            <w:noWrap w:val="0"/>
            <w:vAlign w:val="center"/>
          </w:tcPr>
          <w:p>
            <w:pPr>
              <w:spacing w:line="180" w:lineRule="auto"/>
              <w:ind w:right="4" w:rightChars="0"/>
              <w:jc w:val="center"/>
              <w:rPr>
                <w:rFonts w:hint="eastAsia"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酸碱度</w:t>
            </w:r>
          </w:p>
        </w:tc>
        <w:tc>
          <w:tcPr>
            <w:tcW w:w="2845" w:type="dxa"/>
            <w:noWrap w:val="0"/>
            <w:vAlign w:val="center"/>
          </w:tcPr>
          <w:p>
            <w:pPr>
              <w:spacing w:line="180" w:lineRule="auto"/>
              <w:ind w:right="4" w:rightChars="0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  <w:t>ChP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201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  <w:szCs w:val="21"/>
              </w:rPr>
              <w:t>通则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0631</w:t>
            </w:r>
          </w:p>
        </w:tc>
        <w:tc>
          <w:tcPr>
            <w:tcW w:w="3489" w:type="dxa"/>
            <w:noWrap w:val="0"/>
            <w:vAlign w:val="center"/>
          </w:tcPr>
          <w:p>
            <w:pPr>
              <w:spacing w:line="180" w:lineRule="auto"/>
              <w:ind w:right="4" w:rightChars="0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pH：5.0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～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7.5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669" w:type="dxa"/>
            <w:noWrap w:val="0"/>
            <w:vAlign w:val="center"/>
          </w:tcPr>
          <w:p>
            <w:pPr>
              <w:spacing w:line="180" w:lineRule="auto"/>
              <w:ind w:right="4" w:rightChars="0"/>
              <w:jc w:val="center"/>
              <w:rPr>
                <w:rFonts w:hint="eastAsia"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颜色</w:t>
            </w:r>
          </w:p>
        </w:tc>
        <w:tc>
          <w:tcPr>
            <w:tcW w:w="2845" w:type="dxa"/>
            <w:noWrap w:val="0"/>
            <w:vAlign w:val="center"/>
          </w:tcPr>
          <w:p>
            <w:pPr>
              <w:spacing w:line="180" w:lineRule="auto"/>
              <w:ind w:right="4" w:rightChars="0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  <w:t>ChP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201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3489" w:type="dxa"/>
            <w:noWrap w:val="0"/>
            <w:vAlign w:val="center"/>
          </w:tcPr>
          <w:p>
            <w:pPr>
              <w:spacing w:line="180" w:lineRule="auto"/>
              <w:ind w:right="4" w:rightChars="0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  <w:t>与规定对照液比较，不得更深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669" w:type="dxa"/>
            <w:vMerge w:val="restart"/>
            <w:noWrap w:val="0"/>
            <w:vAlign w:val="center"/>
          </w:tcPr>
          <w:p>
            <w:pPr>
              <w:spacing w:line="180" w:lineRule="auto"/>
              <w:ind w:right="4"/>
              <w:jc w:val="center"/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乙二醇与</w:t>
            </w:r>
          </w:p>
          <w:p>
            <w:pPr>
              <w:spacing w:line="180" w:lineRule="auto"/>
              <w:ind w:right="4" w:rightChars="0"/>
              <w:jc w:val="center"/>
              <w:rPr>
                <w:rFonts w:hint="eastAsia"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二甘醇（％）</w:t>
            </w:r>
          </w:p>
        </w:tc>
        <w:tc>
          <w:tcPr>
            <w:tcW w:w="2845" w:type="dxa"/>
            <w:vMerge w:val="restart"/>
            <w:noWrap w:val="0"/>
            <w:vAlign w:val="center"/>
          </w:tcPr>
          <w:p>
            <w:pPr>
              <w:spacing w:line="180" w:lineRule="auto"/>
              <w:ind w:right="4" w:rightChars="0"/>
              <w:jc w:val="left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ChP2015通则0521</w:t>
            </w:r>
          </w:p>
        </w:tc>
        <w:tc>
          <w:tcPr>
            <w:tcW w:w="3489" w:type="dxa"/>
            <w:noWrap w:val="0"/>
            <w:vAlign w:val="center"/>
          </w:tcPr>
          <w:p>
            <w:pPr>
              <w:spacing w:line="180" w:lineRule="auto"/>
              <w:ind w:right="4" w:rightChars="0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  <w:t>乙二醇不得过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0.01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669" w:type="dxa"/>
            <w:vMerge w:val="continue"/>
            <w:noWrap w:val="0"/>
            <w:vAlign w:val="center"/>
          </w:tcPr>
          <w:p>
            <w:pPr>
              <w:spacing w:line="180" w:lineRule="auto"/>
              <w:ind w:right="4" w:rightChars="0"/>
              <w:jc w:val="center"/>
              <w:rPr>
                <w:rFonts w:hint="eastAsia" w:ascii="Times New Roman" w:hAnsi="Times New Roman"/>
                <w:color w:val="000000"/>
                <w:szCs w:val="21"/>
              </w:rPr>
            </w:pPr>
          </w:p>
        </w:tc>
        <w:tc>
          <w:tcPr>
            <w:tcW w:w="2845" w:type="dxa"/>
            <w:vMerge w:val="continue"/>
            <w:noWrap w:val="0"/>
            <w:vAlign w:val="center"/>
          </w:tcPr>
          <w:p>
            <w:pPr>
              <w:spacing w:line="180" w:lineRule="auto"/>
              <w:ind w:right="4" w:rightChars="0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3489" w:type="dxa"/>
            <w:noWrap w:val="0"/>
            <w:vAlign w:val="center"/>
          </w:tcPr>
          <w:p>
            <w:pPr>
              <w:spacing w:line="180" w:lineRule="auto"/>
              <w:ind w:right="4" w:rightChars="0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  <w:t>二甘醇不得过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0.01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669" w:type="dxa"/>
            <w:vMerge w:val="restart"/>
            <w:noWrap w:val="0"/>
            <w:vAlign w:val="center"/>
          </w:tcPr>
          <w:p>
            <w:pPr>
              <w:spacing w:line="180" w:lineRule="auto"/>
              <w:ind w:right="4"/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环氧乙烷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和</w:t>
            </w:r>
          </w:p>
          <w:p>
            <w:pPr>
              <w:spacing w:line="180" w:lineRule="auto"/>
              <w:ind w:right="4" w:right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二氧六环（%）</w:t>
            </w:r>
          </w:p>
        </w:tc>
        <w:tc>
          <w:tcPr>
            <w:tcW w:w="2845" w:type="dxa"/>
            <w:vMerge w:val="restart"/>
            <w:noWrap w:val="0"/>
            <w:vAlign w:val="center"/>
          </w:tcPr>
          <w:p>
            <w:pPr>
              <w:spacing w:line="180" w:lineRule="auto"/>
              <w:ind w:right="4" w:rightChars="0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  <w:t>ChP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201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5 通则0521</w:t>
            </w:r>
          </w:p>
        </w:tc>
        <w:tc>
          <w:tcPr>
            <w:tcW w:w="3489" w:type="dxa"/>
            <w:noWrap w:val="0"/>
            <w:vAlign w:val="center"/>
          </w:tcPr>
          <w:p>
            <w:pPr>
              <w:spacing w:line="180" w:lineRule="auto"/>
              <w:ind w:right="4" w:rightChars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环氧乙烷不得过0.0001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669" w:type="dxa"/>
            <w:vMerge w:val="continue"/>
            <w:noWrap w:val="0"/>
            <w:vAlign w:val="center"/>
          </w:tcPr>
          <w:p>
            <w:pPr>
              <w:spacing w:line="180" w:lineRule="auto"/>
              <w:ind w:right="4" w:right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845" w:type="dxa"/>
            <w:vMerge w:val="continue"/>
            <w:noWrap w:val="0"/>
            <w:vAlign w:val="center"/>
          </w:tcPr>
          <w:p>
            <w:pPr>
              <w:spacing w:line="180" w:lineRule="auto"/>
              <w:ind w:right="4" w:rightChars="0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3489" w:type="dxa"/>
            <w:noWrap w:val="0"/>
            <w:vAlign w:val="center"/>
          </w:tcPr>
          <w:p>
            <w:pPr>
              <w:spacing w:line="180" w:lineRule="auto"/>
              <w:ind w:right="4" w:rightChars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二氧六环不得过0.001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669" w:type="dxa"/>
            <w:noWrap w:val="0"/>
            <w:vAlign w:val="center"/>
          </w:tcPr>
          <w:p>
            <w:pPr>
              <w:spacing w:line="180" w:lineRule="auto"/>
              <w:ind w:right="4" w:rightChars="0"/>
              <w:jc w:val="center"/>
              <w:rPr>
                <w:rFonts w:hint="eastAsia"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冻结试验</w:t>
            </w:r>
          </w:p>
        </w:tc>
        <w:tc>
          <w:tcPr>
            <w:tcW w:w="2845" w:type="dxa"/>
            <w:noWrap w:val="0"/>
            <w:vAlign w:val="center"/>
          </w:tcPr>
          <w:p>
            <w:pPr>
              <w:spacing w:line="180" w:lineRule="auto"/>
              <w:ind w:right="4" w:rightChars="0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  <w:t>ChP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201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3489" w:type="dxa"/>
            <w:noWrap w:val="0"/>
            <w:vAlign w:val="center"/>
          </w:tcPr>
          <w:p>
            <w:pPr>
              <w:spacing w:line="180" w:lineRule="auto"/>
              <w:ind w:right="4" w:rightChars="0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  <w:t>规定条件下，不得冻结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669" w:type="dxa"/>
            <w:noWrap w:val="0"/>
            <w:vAlign w:val="center"/>
          </w:tcPr>
          <w:p>
            <w:pPr>
              <w:spacing w:line="180" w:lineRule="auto"/>
              <w:ind w:right="4" w:right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水分（%）</w:t>
            </w:r>
          </w:p>
        </w:tc>
        <w:tc>
          <w:tcPr>
            <w:tcW w:w="2845" w:type="dxa"/>
            <w:noWrap w:val="0"/>
            <w:vAlign w:val="center"/>
          </w:tcPr>
          <w:p>
            <w:pPr>
              <w:spacing w:line="180" w:lineRule="auto"/>
              <w:ind w:right="4" w:rightChars="0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  <w:t>ChP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20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15 通则0832第一法1</w:t>
            </w:r>
          </w:p>
        </w:tc>
        <w:tc>
          <w:tcPr>
            <w:tcW w:w="3489" w:type="dxa"/>
            <w:noWrap w:val="0"/>
            <w:vAlign w:val="center"/>
          </w:tcPr>
          <w:p>
            <w:pPr>
              <w:spacing w:line="180" w:lineRule="auto"/>
              <w:ind w:right="4" w:rightChars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不得过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.0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66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180" w:lineRule="auto"/>
              <w:ind w:right="4" w:right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炽灼残渣（%）</w:t>
            </w:r>
          </w:p>
        </w:tc>
        <w:tc>
          <w:tcPr>
            <w:tcW w:w="2845" w:type="dxa"/>
            <w:noWrap w:val="0"/>
            <w:vAlign w:val="center"/>
          </w:tcPr>
          <w:p>
            <w:pPr>
              <w:spacing w:line="180" w:lineRule="auto"/>
              <w:ind w:right="4" w:rightChars="0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  <w:t>ChP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201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5 通则0841</w:t>
            </w:r>
          </w:p>
        </w:tc>
        <w:tc>
          <w:tcPr>
            <w:tcW w:w="3489" w:type="dxa"/>
            <w:noWrap w:val="0"/>
            <w:vAlign w:val="center"/>
          </w:tcPr>
          <w:p>
            <w:pPr>
              <w:spacing w:line="180" w:lineRule="auto"/>
              <w:ind w:right="4" w:rightChars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不得过0.2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66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180" w:lineRule="auto"/>
              <w:ind w:right="4" w:right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重金属</w:t>
            </w:r>
          </w:p>
        </w:tc>
        <w:tc>
          <w:tcPr>
            <w:tcW w:w="2845" w:type="dxa"/>
            <w:noWrap w:val="0"/>
            <w:vAlign w:val="center"/>
          </w:tcPr>
          <w:p>
            <w:pPr>
              <w:spacing w:line="180" w:lineRule="auto"/>
              <w:ind w:right="4" w:rightChars="0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  <w:t>ChP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201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5 通则0821第二法</w:t>
            </w:r>
          </w:p>
        </w:tc>
        <w:tc>
          <w:tcPr>
            <w:tcW w:w="3489" w:type="dxa"/>
            <w:noWrap w:val="0"/>
            <w:vAlign w:val="center"/>
          </w:tcPr>
          <w:p>
            <w:pPr>
              <w:spacing w:line="180" w:lineRule="auto"/>
              <w:ind w:right="4" w:rightChars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不得过百万分之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  <w:t>十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669" w:type="dxa"/>
            <w:noWrap w:val="0"/>
            <w:vAlign w:val="center"/>
          </w:tcPr>
          <w:p>
            <w:pPr>
              <w:spacing w:line="180" w:lineRule="auto"/>
              <w:ind w:right="4" w:right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砷盐（%）</w:t>
            </w:r>
          </w:p>
        </w:tc>
        <w:tc>
          <w:tcPr>
            <w:tcW w:w="2845" w:type="dxa"/>
            <w:noWrap w:val="0"/>
            <w:vAlign w:val="center"/>
          </w:tcPr>
          <w:p>
            <w:pPr>
              <w:spacing w:line="180" w:lineRule="auto"/>
              <w:ind w:right="4" w:rightChars="0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  <w:t>ChP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201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5 通则0822第一法</w:t>
            </w:r>
          </w:p>
        </w:tc>
        <w:tc>
          <w:tcPr>
            <w:tcW w:w="3489" w:type="dxa"/>
            <w:noWrap w:val="0"/>
            <w:vAlign w:val="center"/>
          </w:tcPr>
          <w:p>
            <w:pPr>
              <w:spacing w:line="180" w:lineRule="auto"/>
              <w:ind w:right="4" w:rightChars="0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不得过0.0002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669" w:type="dxa"/>
            <w:vMerge w:val="restart"/>
            <w:noWrap w:val="0"/>
            <w:vAlign w:val="center"/>
          </w:tcPr>
          <w:p>
            <w:pPr>
              <w:spacing w:line="180" w:lineRule="auto"/>
              <w:ind w:right="4" w:rightChars="0"/>
              <w:jc w:val="center"/>
              <w:rPr>
                <w:rFonts w:hint="eastAsia"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脂肪酸组成（％）</w:t>
            </w:r>
          </w:p>
        </w:tc>
        <w:tc>
          <w:tcPr>
            <w:tcW w:w="2845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uto"/>
              <w:ind w:right="4" w:rightChars="0"/>
              <w:jc w:val="left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ChP2015 通则0521</w:t>
            </w:r>
          </w:p>
        </w:tc>
        <w:tc>
          <w:tcPr>
            <w:tcW w:w="3489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180" w:lineRule="auto"/>
              <w:ind w:right="4" w:rightChars="0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油酸不得少于58.0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669" w:type="dxa"/>
            <w:vMerge w:val="continue"/>
            <w:noWrap w:val="0"/>
            <w:vAlign w:val="center"/>
          </w:tcPr>
          <w:p>
            <w:pPr>
              <w:spacing w:line="180" w:lineRule="auto"/>
              <w:ind w:right="4" w:rightChars="0"/>
              <w:jc w:val="center"/>
              <w:rPr>
                <w:rFonts w:hint="eastAsia" w:ascii="Times New Roman" w:hAnsi="Times New Roman"/>
                <w:color w:val="000000"/>
                <w:szCs w:val="21"/>
              </w:rPr>
            </w:pPr>
          </w:p>
        </w:tc>
        <w:tc>
          <w:tcPr>
            <w:tcW w:w="284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uto"/>
              <w:ind w:right="4" w:rightChars="0"/>
              <w:jc w:val="left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3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180" w:lineRule="auto"/>
              <w:ind w:right="4" w:rightChars="0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肉豆蔻酸不得大于5.0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669" w:type="dxa"/>
            <w:vMerge w:val="continue"/>
            <w:noWrap w:val="0"/>
            <w:vAlign w:val="center"/>
          </w:tcPr>
          <w:p>
            <w:pPr>
              <w:spacing w:line="180" w:lineRule="auto"/>
              <w:ind w:right="4" w:rightChars="0"/>
              <w:jc w:val="center"/>
              <w:rPr>
                <w:rFonts w:hint="eastAsia" w:ascii="Times New Roman" w:hAnsi="Times New Roman"/>
                <w:color w:val="000000"/>
                <w:szCs w:val="21"/>
              </w:rPr>
            </w:pPr>
          </w:p>
        </w:tc>
        <w:tc>
          <w:tcPr>
            <w:tcW w:w="284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uto"/>
              <w:ind w:right="4" w:rightChars="0"/>
              <w:jc w:val="left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3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180" w:lineRule="auto"/>
              <w:ind w:right="4" w:rightChars="0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棕榈酸不得大于16.0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669" w:type="dxa"/>
            <w:vMerge w:val="continue"/>
            <w:noWrap w:val="0"/>
            <w:vAlign w:val="center"/>
          </w:tcPr>
          <w:p>
            <w:pPr>
              <w:spacing w:line="180" w:lineRule="auto"/>
              <w:ind w:right="4" w:rightChars="0"/>
              <w:jc w:val="center"/>
              <w:rPr>
                <w:rFonts w:hint="eastAsia" w:ascii="Times New Roman" w:hAnsi="Times New Roman"/>
                <w:color w:val="000000"/>
                <w:szCs w:val="21"/>
              </w:rPr>
            </w:pPr>
          </w:p>
        </w:tc>
        <w:tc>
          <w:tcPr>
            <w:tcW w:w="284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uto"/>
              <w:ind w:right="4" w:rightChars="0"/>
              <w:jc w:val="left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3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180" w:lineRule="auto"/>
              <w:ind w:right="4" w:rightChars="0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棕榈油酸不得大于8.0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669" w:type="dxa"/>
            <w:vMerge w:val="continue"/>
            <w:noWrap w:val="0"/>
            <w:vAlign w:val="center"/>
          </w:tcPr>
          <w:p>
            <w:pPr>
              <w:spacing w:line="180" w:lineRule="auto"/>
              <w:ind w:right="4" w:rightChars="0"/>
              <w:jc w:val="center"/>
              <w:rPr>
                <w:rFonts w:hint="eastAsia" w:ascii="Times New Roman" w:hAnsi="Times New Roman"/>
                <w:color w:val="000000"/>
                <w:szCs w:val="21"/>
              </w:rPr>
            </w:pPr>
          </w:p>
        </w:tc>
        <w:tc>
          <w:tcPr>
            <w:tcW w:w="284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uto"/>
              <w:ind w:right="4" w:rightChars="0"/>
              <w:jc w:val="left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3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180" w:lineRule="auto"/>
              <w:ind w:right="4" w:rightChars="0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硬脂酸不得大于6.0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669" w:type="dxa"/>
            <w:vMerge w:val="continue"/>
            <w:noWrap w:val="0"/>
            <w:vAlign w:val="center"/>
          </w:tcPr>
          <w:p>
            <w:pPr>
              <w:spacing w:line="180" w:lineRule="auto"/>
              <w:ind w:right="4" w:rightChars="0"/>
              <w:jc w:val="center"/>
              <w:rPr>
                <w:rFonts w:hint="eastAsia" w:ascii="Times New Roman" w:hAnsi="Times New Roman"/>
                <w:color w:val="000000"/>
                <w:szCs w:val="21"/>
              </w:rPr>
            </w:pPr>
          </w:p>
        </w:tc>
        <w:tc>
          <w:tcPr>
            <w:tcW w:w="284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uto"/>
              <w:ind w:right="4" w:rightChars="0"/>
              <w:jc w:val="left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3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180" w:lineRule="auto"/>
              <w:ind w:right="4" w:rightChars="0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亚油酸不得大于18.0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669" w:type="dxa"/>
            <w:vMerge w:val="continue"/>
            <w:noWrap w:val="0"/>
            <w:vAlign w:val="center"/>
          </w:tcPr>
          <w:p>
            <w:pPr>
              <w:spacing w:line="180" w:lineRule="auto"/>
              <w:ind w:right="4" w:rightChars="0"/>
              <w:jc w:val="center"/>
              <w:rPr>
                <w:rFonts w:hint="eastAsia" w:ascii="Times New Roman" w:hAnsi="Times New Roman"/>
                <w:color w:val="000000"/>
                <w:szCs w:val="21"/>
              </w:rPr>
            </w:pPr>
          </w:p>
        </w:tc>
        <w:tc>
          <w:tcPr>
            <w:tcW w:w="284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uto"/>
              <w:ind w:right="4" w:rightChars="0"/>
              <w:jc w:val="left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3489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180" w:lineRule="auto"/>
              <w:ind w:right="4" w:rightChars="0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亚麻酸不得大于4.0</w:t>
            </w:r>
          </w:p>
        </w:tc>
      </w:tr>
    </w:tbl>
    <w:p>
      <w:pPr>
        <w:rPr>
          <w:rFonts w:ascii="Times New Roman" w:hAnsi="宋体" w:eastAsia="宋体" w:cs="Times New Roman"/>
          <w:b/>
          <w:bCs/>
          <w:color w:val="FF0000"/>
          <w:kern w:val="0"/>
          <w:sz w:val="28"/>
          <w:szCs w:val="28"/>
        </w:rPr>
      </w:pPr>
    </w:p>
    <w:p>
      <w:pP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ascii="Times New Roman" w:hAnsi="宋体" w:eastAsia="宋体" w:cs="Times New Roman"/>
          <w:b/>
          <w:bCs/>
          <w:color w:val="FF0000"/>
          <w:kern w:val="0"/>
          <w:sz w:val="28"/>
          <w:szCs w:val="28"/>
        </w:rPr>
        <w:t>包装规格：</w:t>
      </w:r>
      <w:r>
        <w:rPr>
          <w:rFonts w:hint="eastAsia" w:ascii="Times New Roman" w:hAnsi="宋体" w:eastAsia="宋体" w:cs="Times New Roman"/>
          <w:color w:val="000000"/>
          <w:kern w:val="0"/>
          <w:sz w:val="28"/>
          <w:szCs w:val="28"/>
          <w:lang w:val="en-US" w:eastAsia="zh-CN"/>
        </w:rPr>
        <w:t>25KG/桶</w:t>
      </w:r>
      <w:r>
        <w:rPr>
          <w:rFonts w:ascii="Times New Roman" w:hAnsi="宋体" w:eastAsia="宋体" w:cs="Times New Roman"/>
          <w:color w:val="000000"/>
          <w:kern w:val="0"/>
          <w:sz w:val="28"/>
          <w:szCs w:val="28"/>
        </w:rPr>
        <w:t>；</w:t>
      </w:r>
    </w:p>
    <w:p>
      <w:pPr>
        <w:autoSpaceDE w:val="0"/>
        <w:autoSpaceDN w:val="0"/>
        <w:adjustRightInd w:val="0"/>
        <w:jc w:val="left"/>
        <w:rPr>
          <w:rFonts w:ascii="Times New Roman" w:hAnsi="Times New Roman" w:eastAsia="宋体" w:cs="Times New Roman"/>
          <w:color w:val="000000"/>
          <w:kern w:val="0"/>
          <w:sz w:val="28"/>
          <w:szCs w:val="28"/>
        </w:rPr>
      </w:pPr>
      <w:r>
        <w:rPr>
          <w:rFonts w:ascii="Times New Roman" w:hAnsi="宋体" w:eastAsia="宋体" w:cs="Times New Roman"/>
          <w:b/>
          <w:bCs/>
          <w:color w:val="FF0000"/>
          <w:kern w:val="0"/>
          <w:sz w:val="28"/>
          <w:szCs w:val="28"/>
        </w:rPr>
        <w:t>贮运条件：</w:t>
      </w:r>
      <w:r>
        <w:rPr>
          <w:rFonts w:hint="eastAsia" w:ascii="Times New Roman" w:hAnsi="宋体" w:eastAsia="宋体" w:cs="Times New Roman"/>
          <w:b/>
          <w:bCs/>
          <w:color w:val="FF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系列产品无毒，不易燃，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在运输过程中应防止日晒、雨林，保持包装完整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。贮存于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阴凉、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干燥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通风处。</w:t>
      </w:r>
    </w:p>
    <w:p>
      <w:r>
        <w:rPr>
          <w:rFonts w:ascii="Times New Roman" w:hAnsi="宋体" w:eastAsia="宋体" w:cs="Times New Roman"/>
          <w:b/>
          <w:bCs/>
          <w:color w:val="FF0000"/>
          <w:kern w:val="0"/>
          <w:sz w:val="28"/>
          <w:szCs w:val="28"/>
        </w:rPr>
        <w:t>产品保质期：</w:t>
      </w:r>
      <w:r>
        <w:rPr>
          <w:rFonts w:hint="eastAsia" w:ascii="Times New Roman" w:hAnsi="宋体" w:eastAsia="宋体" w:cs="Times New Roman"/>
          <w:b/>
          <w:bCs/>
          <w:color w:val="FF0000"/>
          <w:kern w:val="0"/>
          <w:sz w:val="28"/>
          <w:szCs w:val="28"/>
          <w:lang w:val="en-US" w:eastAsia="zh-CN"/>
        </w:rPr>
        <w:t xml:space="preserve"> </w:t>
      </w:r>
      <w:r>
        <w:rPr>
          <w:rFonts w:ascii="Times New Roman" w:hAnsi="宋体" w:eastAsia="宋体" w:cs="Times New Roman"/>
          <w:kern w:val="0"/>
          <w:sz w:val="28"/>
          <w:szCs w:val="28"/>
        </w:rPr>
        <w:t>在规定的贮运条件下</w:t>
      </w:r>
      <w:r>
        <w:rPr>
          <w:rFonts w:hint="eastAsia" w:ascii="Times New Roman" w:hAnsi="宋体" w:eastAsia="宋体" w:cs="Times New Roman"/>
          <w:kern w:val="0"/>
          <w:sz w:val="28"/>
          <w:szCs w:val="28"/>
          <w:lang w:val="en-US" w:eastAsia="zh-CN"/>
        </w:rPr>
        <w:t>产品的保质期为2年</w:t>
      </w:r>
      <w:r>
        <w:rPr>
          <w:rFonts w:ascii="Times New Roman" w:hAnsi="宋体" w:eastAsia="宋体" w:cs="Times New Roman"/>
          <w:kern w:val="0"/>
          <w:sz w:val="28"/>
          <w:szCs w:val="28"/>
        </w:rPr>
        <w:t>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left"/>
      <w:rPr>
        <w:rFonts w:hint="eastAsia" w:ascii="楷体" w:hAnsi="楷体" w:eastAsia="楷体" w:cs="楷体"/>
        <w:color w:val="002060"/>
        <w:sz w:val="21"/>
        <w:szCs w:val="21"/>
        <w:lang w:val="en-US" w:eastAsia="zh-CN"/>
      </w:rPr>
    </w:pPr>
    <w:r>
      <w:rPr>
        <w:rFonts w:hint="eastAsia" w:ascii="宋体" w:hAnsi="宋体"/>
        <w:sz w:val="28"/>
        <w:szCs w:val="2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28575</wp:posOffset>
          </wp:positionH>
          <wp:positionV relativeFrom="paragraph">
            <wp:posOffset>-160020</wp:posOffset>
          </wp:positionV>
          <wp:extent cx="533400" cy="533400"/>
          <wp:effectExtent l="0" t="0" r="0" b="0"/>
          <wp:wrapNone/>
          <wp:docPr id="2" name="Picture 4" descr="奥克图标_招股书用_无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" descr="奥克图标_招股书用_无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hint="eastAsia" w:ascii="宋体" w:hAnsi="宋体"/>
        <w:sz w:val="28"/>
        <w:szCs w:val="28"/>
        <w:lang w:val="en-US" w:eastAsia="zh-CN"/>
      </w:rPr>
      <w:t xml:space="preserve">                                              </w:t>
    </w:r>
    <w:r>
      <w:rPr>
        <w:rFonts w:hint="eastAsia" w:ascii="楷体" w:hAnsi="楷体" w:eastAsia="楷体" w:cs="楷体"/>
        <w:color w:val="002060"/>
        <w:sz w:val="21"/>
        <w:szCs w:val="21"/>
        <w:lang w:val="en-US" w:eastAsia="zh-CN"/>
      </w:rPr>
      <w:t xml:space="preserve">共创共享  </w:t>
    </w:r>
  </w:p>
  <w:p>
    <w:pPr>
      <w:pStyle w:val="3"/>
      <w:ind w:firstLine="1050" w:firstLineChars="500"/>
      <w:jc w:val="left"/>
      <w:rPr>
        <w:rFonts w:hint="default" w:ascii="楷体" w:hAnsi="楷体" w:eastAsia="楷体" w:cs="楷体"/>
        <w:sz w:val="24"/>
        <w:szCs w:val="24"/>
        <w:lang w:val="en-US" w:eastAsia="zh-CN"/>
      </w:rPr>
    </w:pPr>
    <w:r>
      <w:rPr>
        <w:rFonts w:hint="eastAsia" w:ascii="楷体" w:hAnsi="楷体" w:eastAsia="楷体" w:cs="楷体"/>
        <w:color w:val="002060"/>
        <w:sz w:val="21"/>
        <w:szCs w:val="21"/>
        <w:lang w:val="en-US" w:eastAsia="zh-CN"/>
      </w:rPr>
      <w:t>OXRIAN Chemical Company                                     共和共荣</w:t>
    </w:r>
    <w:r>
      <w:rPr>
        <w:rFonts w:hint="eastAsia" w:ascii="楷体" w:hAnsi="楷体" w:eastAsia="楷体" w:cs="楷体"/>
        <w:color w:val="4472C4" w:themeColor="accent5"/>
        <w:sz w:val="21"/>
        <w:szCs w:val="21"/>
        <w:lang w:val="en-US" w:eastAsia="zh-CN"/>
        <w14:textFill>
          <w14:solidFill>
            <w14:schemeClr w14:val="accent5"/>
          </w14:solidFill>
        </w14:textFill>
      </w:rPr>
      <w:t xml:space="preserve"> </w:t>
    </w:r>
    <w:r>
      <w:rPr>
        <w:rFonts w:hint="eastAsia" w:ascii="宋体" w:hAnsi="宋体"/>
        <w:sz w:val="28"/>
        <w:szCs w:val="28"/>
        <w:lang w:val="en-US" w:eastAsia="zh-CN"/>
      </w:rPr>
      <w:t xml:space="preserve">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877148"/>
    <w:rsid w:val="0C8F6952"/>
    <w:rsid w:val="0FCF3B10"/>
    <w:rsid w:val="16EF233D"/>
    <w:rsid w:val="1CA27B7C"/>
    <w:rsid w:val="1FE31D5A"/>
    <w:rsid w:val="22C043B7"/>
    <w:rsid w:val="25C6073E"/>
    <w:rsid w:val="2ABB4D4D"/>
    <w:rsid w:val="3E156FCD"/>
    <w:rsid w:val="43B05C1E"/>
    <w:rsid w:val="45FC6DF1"/>
    <w:rsid w:val="47951052"/>
    <w:rsid w:val="5028391C"/>
    <w:rsid w:val="5AF237BA"/>
    <w:rsid w:val="63AF1989"/>
    <w:rsid w:val="6BB60439"/>
    <w:rsid w:val="6E3D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Default"/>
    <w:unhideWhenUsed/>
    <w:qFormat/>
    <w:uiPriority w:val="0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2021-05-11T07:36:00Z</dcterms:created>
  <dc:creator>jyp13</dc:creator>
  <cp:lastModifiedBy>Administrator</cp:lastModifiedBy>
  <dcterms:modified xsi:type="dcterms:W3CDTF">2021-05-24T08:24:14Z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B1500B94E8924CBCA8D5D8AA9A84E4D3</vt:lpwstr>
  </property>
</Properties>
</file>